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061981515"/>
        <w:docPartObj>
          <w:docPartGallery w:val="Cover Pages"/>
          <w:docPartUnique/>
        </w:docPartObj>
      </w:sdtPr>
      <w:sdtEndPr/>
      <w:sdtContent>
        <w:p w:rsidR="00FA02C3" w:rsidRDefault="00F16D56" w:rsidP="00FA02C3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034F17BA" wp14:editId="0C4DE4C2">
                    <wp:simplePos x="0" y="0"/>
                    <wp:positionH relativeFrom="page">
                      <wp:posOffset>-38099</wp:posOffset>
                    </wp:positionH>
                    <wp:positionV relativeFrom="page">
                      <wp:posOffset>-28575</wp:posOffset>
                    </wp:positionV>
                    <wp:extent cx="7753350" cy="10873105"/>
                    <wp:effectExtent l="0" t="0" r="0" b="4445"/>
                    <wp:wrapNone/>
                    <wp:docPr id="1" name="Прямоугольник 5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753350" cy="1087310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:rsidR="00AB5837" w:rsidRDefault="00AB5837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tbl>
                                <w:tblPr>
                                  <w:tblStyle w:val="a8"/>
                                  <w:tblW w:w="0" w:type="auto"/>
                                  <w:tblInd w:w="817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single" w:sz="18" w:space="0" w:color="365F91" w:themeColor="accent1" w:themeShade="BF"/>
                                    <w:right w:val="none" w:sz="0" w:space="0" w:color="auto"/>
                                    <w:insideV w:val="single" w:sz="18" w:space="0" w:color="365F91" w:themeColor="accent1" w:themeShade="BF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8363"/>
                                  <w:gridCol w:w="2136"/>
                                </w:tblGrid>
                                <w:tr w:rsidR="002753AE" w:rsidTr="000F6333">
                                  <w:tc>
                                    <w:tcPr>
                                      <w:tcW w:w="8363" w:type="dxa"/>
                                    </w:tcPr>
                                    <w:p w:rsidR="002753AE" w:rsidRPr="002753AE" w:rsidRDefault="002753AE" w:rsidP="002753AE">
                                      <w:pPr>
                                        <w:rPr>
                                          <w:rFonts w:asciiTheme="majorHAnsi" w:hAnsiTheme="majorHAnsi"/>
                                          <w:sz w:val="72"/>
                                          <w:szCs w:val="72"/>
                                        </w:rPr>
                                      </w:pPr>
                                      <w:r w:rsidRPr="002753AE">
                                        <w:rPr>
                                          <w:rFonts w:asciiTheme="majorHAnsi" w:hAnsiTheme="majorHAnsi"/>
                                          <w:sz w:val="72"/>
                                          <w:szCs w:val="72"/>
                                        </w:rPr>
                                        <w:t>ИНВЕСТИЦИОННАЯ ПРОГРАММА (</w:t>
                                      </w:r>
                                      <w:r w:rsidR="00945752">
                                        <w:rPr>
                                          <w:rFonts w:asciiTheme="majorHAnsi" w:hAnsiTheme="majorHAnsi"/>
                                          <w:sz w:val="72"/>
                                          <w:szCs w:val="72"/>
                                        </w:rPr>
                                        <w:t>предложения по корректировке</w:t>
                                      </w:r>
                                      <w:r w:rsidRPr="002753AE">
                                        <w:rPr>
                                          <w:rFonts w:asciiTheme="majorHAnsi" w:hAnsiTheme="majorHAnsi"/>
                                          <w:sz w:val="72"/>
                                          <w:szCs w:val="72"/>
                                        </w:rPr>
                                        <w:t>)</w:t>
                                      </w:r>
                                    </w:p>
                                  </w:tc>
                                  <w:tc>
                                    <w:tcPr>
                                      <w:tcW w:w="1653" w:type="dxa"/>
                                    </w:tcPr>
                                    <w:p w:rsidR="002753AE" w:rsidRPr="000F6333" w:rsidRDefault="002753AE" w:rsidP="002753AE">
                                      <w:pPr>
                                        <w:rPr>
                                          <w:color w:val="365F91" w:themeColor="accent1" w:themeShade="BF"/>
                                          <w:sz w:val="96"/>
                                          <w:szCs w:val="96"/>
                                        </w:rPr>
                                      </w:pPr>
                                      <w:r w:rsidRPr="000F6333">
                                        <w:rPr>
                                          <w:color w:val="365F91" w:themeColor="accent1" w:themeShade="BF"/>
                                          <w:sz w:val="96"/>
                                          <w:szCs w:val="96"/>
                                        </w:rPr>
                                        <w:t>2021</w:t>
                                      </w:r>
                                    </w:p>
                                  </w:tc>
                                </w:tr>
                              </w:tbl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0F6333" w:rsidP="000F6333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0F6333">
                                  <w:rPr>
                                    <w:b/>
                                  </w:rPr>
                                  <w:t>Брянск 20</w:t>
                                </w:r>
                                <w:r w:rsidR="00B46195">
                                  <w:rPr>
                                    <w:b/>
                                  </w:rPr>
                                  <w:t>20</w:t>
                                </w:r>
                              </w:p>
                              <w:p w:rsidR="00B46195" w:rsidRPr="000F6333" w:rsidRDefault="00B46195" w:rsidP="000F6333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2753AE"/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Default="002753AE" w:rsidP="00FA02C3">
                                <w:pPr>
                                  <w:jc w:val="center"/>
                                </w:pPr>
                              </w:p>
                              <w:p w:rsidR="002753AE" w:rsidRPr="002753AE" w:rsidRDefault="002753AE" w:rsidP="00FA02C3">
                                <w:pPr>
                                  <w:jc w:val="center"/>
                                </w:pPr>
                                <w:r w:rsidRPr="002753AE">
                                  <w:t>Брянск 2019</w:t>
                                </w:r>
                              </w:p>
                              <w:p w:rsidR="00FB4D27" w:rsidRDefault="00FB4D27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34F17BA" id="Прямоугольник 52" o:spid="_x0000_s1026" style="position:absolute;margin-left:-3pt;margin-top:-2.25pt;width:610.5pt;height:856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" fillcolor="white [3212]" stroked="f">
                    <v:textbox>
                      <w:txbxContent>
                        <w:p w:rsidR="00AB5837" w:rsidRDefault="00AB5837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tbl>
                          <w:tblPr>
                            <w:tblStyle w:val="a8"/>
                            <w:tblW w:w="0" w:type="auto"/>
                            <w:tblInd w:w="81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single" w:sz="18" w:space="0" w:color="365F91" w:themeColor="accent1" w:themeShade="BF"/>
                              <w:right w:val="none" w:sz="0" w:space="0" w:color="auto"/>
                              <w:insideV w:val="single" w:sz="18" w:space="0" w:color="365F91" w:themeColor="accent1" w:themeShade="BF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8363"/>
                            <w:gridCol w:w="2136"/>
                          </w:tblGrid>
                          <w:tr w:rsidR="002753AE" w:rsidTr="000F6333">
                            <w:tc>
                              <w:tcPr>
                                <w:tcW w:w="8363" w:type="dxa"/>
                              </w:tcPr>
                              <w:p w:rsidR="002753AE" w:rsidRPr="002753AE" w:rsidRDefault="002753AE" w:rsidP="002753AE">
                                <w:pPr>
                                  <w:rPr>
                                    <w:rFonts w:asciiTheme="majorHAnsi" w:hAnsiTheme="majorHAnsi"/>
                                    <w:sz w:val="72"/>
                                    <w:szCs w:val="72"/>
                                  </w:rPr>
                                </w:pPr>
                                <w:r w:rsidRPr="002753AE">
                                  <w:rPr>
                                    <w:rFonts w:asciiTheme="majorHAnsi" w:hAnsiTheme="majorHAnsi"/>
                                    <w:sz w:val="72"/>
                                    <w:szCs w:val="72"/>
                                  </w:rPr>
                                  <w:t>ИНВЕСТИЦИОННАЯ ПРОГРАММА (</w:t>
                                </w:r>
                                <w:r w:rsidR="00945752">
                                  <w:rPr>
                                    <w:rFonts w:asciiTheme="majorHAnsi" w:hAnsiTheme="majorHAnsi"/>
                                    <w:sz w:val="72"/>
                                    <w:szCs w:val="72"/>
                                  </w:rPr>
                                  <w:t>предложения по корректировке</w:t>
                                </w:r>
                                <w:r w:rsidRPr="002753AE">
                                  <w:rPr>
                                    <w:rFonts w:asciiTheme="majorHAnsi" w:hAnsiTheme="majorHAnsi"/>
                                    <w:sz w:val="72"/>
                                    <w:szCs w:val="72"/>
                                  </w:rPr>
                                  <w:t>)</w:t>
                                </w:r>
                              </w:p>
                            </w:tc>
                            <w:tc>
                              <w:tcPr>
                                <w:tcW w:w="1653" w:type="dxa"/>
                              </w:tcPr>
                              <w:p w:rsidR="002753AE" w:rsidRPr="000F6333" w:rsidRDefault="002753AE" w:rsidP="002753AE">
                                <w:pPr>
                                  <w:rPr>
                                    <w:color w:val="365F91" w:themeColor="accent1" w:themeShade="BF"/>
                                    <w:sz w:val="96"/>
                                    <w:szCs w:val="96"/>
                                  </w:rPr>
                                </w:pPr>
                                <w:r w:rsidRPr="000F6333">
                                  <w:rPr>
                                    <w:color w:val="365F91" w:themeColor="accent1" w:themeShade="BF"/>
                                    <w:sz w:val="96"/>
                                    <w:szCs w:val="96"/>
                                  </w:rPr>
                                  <w:t>2021</w:t>
                                </w:r>
                              </w:p>
                            </w:tc>
                          </w:tr>
                        </w:tbl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0F6333" w:rsidP="000F6333">
                          <w:pPr>
                            <w:jc w:val="center"/>
                            <w:rPr>
                              <w:b/>
                            </w:rPr>
                          </w:pPr>
                          <w:r w:rsidRPr="000F6333">
                            <w:rPr>
                              <w:b/>
                            </w:rPr>
                            <w:t>Брянск 20</w:t>
                          </w:r>
                          <w:r w:rsidR="00B46195">
                            <w:rPr>
                              <w:b/>
                            </w:rPr>
                            <w:t>20</w:t>
                          </w:r>
                        </w:p>
                        <w:p w:rsidR="00B46195" w:rsidRPr="000F6333" w:rsidRDefault="00B46195" w:rsidP="000F6333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  <w:p w:rsidR="002753AE" w:rsidRDefault="002753AE" w:rsidP="002753AE"/>
                        <w:p w:rsidR="002753AE" w:rsidRDefault="002753AE" w:rsidP="002753AE"/>
                        <w:p w:rsidR="002753AE" w:rsidRDefault="002753AE" w:rsidP="002753AE"/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Default="002753AE" w:rsidP="00FA02C3">
                          <w:pPr>
                            <w:jc w:val="center"/>
                          </w:pPr>
                        </w:p>
                        <w:p w:rsidR="002753AE" w:rsidRPr="002753AE" w:rsidRDefault="002753AE" w:rsidP="00FA02C3">
                          <w:pPr>
                            <w:jc w:val="center"/>
                          </w:pPr>
                          <w:r w:rsidRPr="002753AE">
                            <w:t>Брянск 2019</w:t>
                          </w:r>
                        </w:p>
                        <w:p w:rsidR="00FB4D27" w:rsidRDefault="00FB4D27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34DA412" wp14:editId="749C1CD8">
                    <wp:simplePos x="0" y="0"/>
                    <wp:positionH relativeFrom="column">
                      <wp:posOffset>152400</wp:posOffset>
                    </wp:positionH>
                    <wp:positionV relativeFrom="paragraph">
                      <wp:posOffset>152400</wp:posOffset>
                    </wp:positionV>
                    <wp:extent cx="5943600" cy="402590"/>
                    <wp:effectExtent l="0" t="0" r="0" b="0"/>
                    <wp:wrapNone/>
                    <wp:docPr id="53" name="Надпись 5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5943600" cy="4025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B5837" w:rsidRPr="00325A18" w:rsidRDefault="00AB5837" w:rsidP="00325A18">
                                <w:pPr>
                                  <w:pStyle w:val="a9"/>
                                  <w:spacing w:line="276" w:lineRule="auto"/>
                                  <w:jc w:val="right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34DA412"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53" o:spid="_x0000_s1027" type="#_x0000_t202" style="position:absolute;margin-left:12pt;margin-top:12pt;width:468pt;height:3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" filled="f" stroked="f" strokeweight=".5pt">
                    <v:path arrowok="t"/>
                    <v:textbox style="mso-fit-shape-to-text:t">
                      <w:txbxContent>
                        <w:p w:rsidR="00AB5837" w:rsidRPr="00325A18" w:rsidRDefault="00AB5837" w:rsidP="00325A18">
                          <w:pPr>
                            <w:pStyle w:val="a9"/>
                            <w:spacing w:line="276" w:lineRule="auto"/>
                            <w:jc w:val="right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FA02C3" w:rsidRDefault="00FA02C3" w:rsidP="00FA02C3"/>
        <w:p w:rsidR="00FA02C3" w:rsidRDefault="0050659F" w:rsidP="00FA02C3">
          <w:r>
            <w:rPr>
              <w:rFonts w:ascii="Cambria" w:hAnsi="Cambria"/>
              <w:i/>
              <w:iCs/>
              <w:noProof/>
              <w:color w:val="4F81BD"/>
              <w:spacing w:val="15"/>
            </w:rPr>
            <w:drawing>
              <wp:inline distT="0" distB="0" distL="0" distR="0" wp14:anchorId="7EBF773B" wp14:editId="124E1DF4">
                <wp:extent cx="3600450" cy="2124075"/>
                <wp:effectExtent l="0" t="0" r="0" b="9525"/>
                <wp:docPr id="3" name="Рисунок 3" descr="C:\Users\Kuzenkova.NM\AppData\Local\Microsoft\Windows\INetCache\Content.Outlook\RJHXNWNO\Лого сини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uzenkova.NM\AppData\Local\Microsoft\Windows\INetCache\Content.Outlook\RJHXNWNO\Лого синий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0" cy="212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FA02C3">
            <w:br w:type="page"/>
          </w:r>
        </w:p>
      </w:sdtContent>
    </w:sdt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6"/>
          <w:szCs w:val="26"/>
        </w:rPr>
      </w:pPr>
    </w:p>
    <w:p w:rsidR="0025153D" w:rsidRPr="0012385D" w:rsidRDefault="0025153D" w:rsidP="0025153D">
      <w:pPr>
        <w:ind w:firstLine="708"/>
        <w:jc w:val="center"/>
        <w:rPr>
          <w:rFonts w:asciiTheme="majorHAnsi" w:hAnsiTheme="majorHAnsi"/>
          <w:b/>
          <w:sz w:val="26"/>
          <w:szCs w:val="26"/>
        </w:rPr>
      </w:pPr>
    </w:p>
    <w:p w:rsidR="0025153D" w:rsidRPr="0012385D" w:rsidRDefault="0025153D" w:rsidP="0025153D">
      <w:pPr>
        <w:ind w:firstLine="708"/>
        <w:jc w:val="center"/>
        <w:rPr>
          <w:rFonts w:asciiTheme="majorHAnsi" w:hAnsiTheme="majorHAnsi"/>
          <w:b/>
          <w:sz w:val="26"/>
          <w:szCs w:val="26"/>
        </w:rPr>
      </w:pPr>
    </w:p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Pr="000C06B8" w:rsidRDefault="0025153D" w:rsidP="0025153D">
      <w:pPr>
        <w:ind w:firstLine="708"/>
        <w:jc w:val="center"/>
        <w:rPr>
          <w:b/>
          <w:sz w:val="28"/>
        </w:rPr>
      </w:pPr>
      <w:r w:rsidRPr="000C06B8">
        <w:rPr>
          <w:b/>
          <w:sz w:val="28"/>
        </w:rPr>
        <w:t>Содержание инвестиционной программы</w:t>
      </w:r>
      <w:r w:rsidR="008F3243">
        <w:rPr>
          <w:b/>
          <w:sz w:val="28"/>
        </w:rPr>
        <w:t xml:space="preserve"> (скорректированной)</w:t>
      </w:r>
    </w:p>
    <w:p w:rsidR="0025153D" w:rsidRPr="000C06B8" w:rsidRDefault="00A134BB" w:rsidP="0025153D">
      <w:pPr>
        <w:ind w:firstLine="708"/>
        <w:jc w:val="center"/>
        <w:rPr>
          <w:b/>
          <w:sz w:val="28"/>
        </w:rPr>
      </w:pPr>
      <w:r w:rsidRPr="000C06B8">
        <w:rPr>
          <w:b/>
          <w:sz w:val="28"/>
        </w:rPr>
        <w:t xml:space="preserve"> филиала «Брянскэнергосбыт» ОО</w:t>
      </w:r>
      <w:r w:rsidR="00B5470D">
        <w:rPr>
          <w:b/>
          <w:sz w:val="28"/>
        </w:rPr>
        <w:t>О «Газпром энергосбыт Брянск</w:t>
      </w:r>
      <w:r w:rsidR="0025153D" w:rsidRPr="000C06B8">
        <w:rPr>
          <w:b/>
          <w:sz w:val="28"/>
        </w:rPr>
        <w:t xml:space="preserve">» </w:t>
      </w:r>
      <w:r w:rsidR="00B5470D">
        <w:rPr>
          <w:b/>
          <w:sz w:val="28"/>
        </w:rPr>
        <w:t xml:space="preserve">         </w:t>
      </w:r>
      <w:r w:rsidR="0025153D" w:rsidRPr="000C06B8">
        <w:rPr>
          <w:b/>
          <w:sz w:val="28"/>
        </w:rPr>
        <w:t xml:space="preserve">на </w:t>
      </w:r>
      <w:r w:rsidR="00083061" w:rsidRPr="000C06B8">
        <w:rPr>
          <w:b/>
          <w:sz w:val="28"/>
        </w:rPr>
        <w:t>20</w:t>
      </w:r>
      <w:r w:rsidR="00563379">
        <w:rPr>
          <w:b/>
          <w:sz w:val="28"/>
        </w:rPr>
        <w:t>21</w:t>
      </w:r>
      <w:r w:rsidR="00B15898">
        <w:rPr>
          <w:b/>
          <w:sz w:val="28"/>
        </w:rPr>
        <w:t xml:space="preserve"> год</w:t>
      </w:r>
    </w:p>
    <w:p w:rsidR="000C06B8" w:rsidRDefault="000C06B8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Default="0025153D" w:rsidP="0025153D">
      <w:pPr>
        <w:ind w:firstLine="708"/>
        <w:jc w:val="center"/>
        <w:rPr>
          <w:b/>
        </w:rPr>
      </w:pPr>
    </w:p>
    <w:p w:rsidR="00CF4BE0" w:rsidRPr="00C33209" w:rsidRDefault="00CF4BE0" w:rsidP="0025153D">
      <w:pPr>
        <w:ind w:firstLine="708"/>
        <w:jc w:val="center"/>
        <w:rPr>
          <w:b/>
        </w:rPr>
      </w:pPr>
    </w:p>
    <w:p w:rsidR="00C33209" w:rsidRDefault="0025153D" w:rsidP="00C33209">
      <w:pPr>
        <w:pStyle w:val="30"/>
        <w:numPr>
          <w:ilvl w:val="0"/>
          <w:numId w:val="15"/>
        </w:numPr>
        <w:spacing w:line="360" w:lineRule="auto"/>
        <w:rPr>
          <w:rFonts w:ascii="Times New Roman" w:hAnsi="Times New Roman"/>
          <w:noProof/>
          <w:sz w:val="24"/>
          <w:szCs w:val="24"/>
        </w:rPr>
      </w:pPr>
      <w:r w:rsidRPr="00C33209">
        <w:rPr>
          <w:rFonts w:ascii="Times New Roman" w:hAnsi="Times New Roman"/>
          <w:noProof/>
          <w:sz w:val="24"/>
          <w:szCs w:val="24"/>
        </w:rPr>
        <w:t>Общие</w:t>
      </w:r>
      <w:r w:rsidR="00C33209" w:rsidRPr="00C33209">
        <w:rPr>
          <w:rFonts w:ascii="Times New Roman" w:hAnsi="Times New Roman"/>
          <w:noProof/>
          <w:sz w:val="24"/>
          <w:szCs w:val="24"/>
        </w:rPr>
        <w:t xml:space="preserve"> сведения об Обществе……</w:t>
      </w:r>
      <w:r w:rsidRPr="00C33209">
        <w:rPr>
          <w:rFonts w:ascii="Times New Roman" w:hAnsi="Times New Roman"/>
          <w:noProof/>
          <w:sz w:val="24"/>
          <w:szCs w:val="24"/>
        </w:rPr>
        <w:t>…...……………………………………………………</w:t>
      </w:r>
      <w:r w:rsidR="006131F5">
        <w:rPr>
          <w:rFonts w:ascii="Times New Roman" w:hAnsi="Times New Roman"/>
          <w:noProof/>
          <w:sz w:val="24"/>
          <w:szCs w:val="24"/>
        </w:rPr>
        <w:t>3</w:t>
      </w:r>
    </w:p>
    <w:p w:rsidR="00E41092" w:rsidRPr="00E41092" w:rsidRDefault="00B46195" w:rsidP="00E41092">
      <w:pPr>
        <w:pStyle w:val="af7"/>
        <w:numPr>
          <w:ilvl w:val="0"/>
          <w:numId w:val="15"/>
        </w:numPr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Необходимость корре</w:t>
      </w:r>
      <w:r w:rsidR="00E41092" w:rsidRPr="00E4109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тировк</w:t>
      </w:r>
      <w:r w:rsidR="000922DF">
        <w:rPr>
          <w:rFonts w:ascii="Times New Roman" w:hAnsi="Times New Roman" w:cs="Times New Roman"/>
          <w:sz w:val="24"/>
          <w:szCs w:val="24"/>
        </w:rPr>
        <w:t>и ИП и предложения ………………………..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…….....</w:t>
      </w:r>
      <w:r w:rsidR="00E4109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….  </w:t>
      </w:r>
      <w:r w:rsidR="006131F5">
        <w:rPr>
          <w:rFonts w:ascii="Times New Roman" w:eastAsia="Times New Roman" w:hAnsi="Times New Roman" w:cs="Times New Roman"/>
          <w:noProof/>
          <w:sz w:val="24"/>
          <w:szCs w:val="24"/>
        </w:rPr>
        <w:t>4</w:t>
      </w:r>
      <w:r w:rsidR="00E41092" w:rsidRPr="00E4109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:rsidR="0025153D" w:rsidRPr="00C33209" w:rsidRDefault="0034711B" w:rsidP="00C33209">
      <w:pPr>
        <w:pStyle w:val="30"/>
        <w:numPr>
          <w:ilvl w:val="0"/>
          <w:numId w:val="15"/>
        </w:numPr>
        <w:spacing w:line="36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Основания для</w:t>
      </w:r>
      <w:r w:rsidR="002F6A02">
        <w:rPr>
          <w:rFonts w:ascii="Times New Roman" w:hAnsi="Times New Roman"/>
          <w:noProof/>
          <w:sz w:val="24"/>
          <w:szCs w:val="24"/>
        </w:rPr>
        <w:t xml:space="preserve"> корректировки</w:t>
      </w:r>
      <w:r w:rsidR="00C33209" w:rsidRPr="00C33209">
        <w:rPr>
          <w:rFonts w:ascii="Times New Roman" w:hAnsi="Times New Roman"/>
          <w:noProof/>
          <w:sz w:val="24"/>
          <w:szCs w:val="24"/>
        </w:rPr>
        <w:t xml:space="preserve"> </w:t>
      </w:r>
      <w:r w:rsidR="00A41A32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.</w:t>
      </w:r>
      <w:bookmarkStart w:id="0" w:name="_GoBack"/>
      <w:bookmarkEnd w:id="0"/>
      <w:r w:rsidR="002F6A02">
        <w:rPr>
          <w:rFonts w:ascii="Times New Roman" w:hAnsi="Times New Roman"/>
          <w:noProof/>
          <w:sz w:val="24"/>
          <w:szCs w:val="24"/>
        </w:rPr>
        <w:t>……………</w:t>
      </w:r>
      <w:r w:rsidR="00E41092">
        <w:rPr>
          <w:rFonts w:ascii="Times New Roman" w:hAnsi="Times New Roman"/>
          <w:noProof/>
          <w:sz w:val="24"/>
          <w:szCs w:val="24"/>
        </w:rPr>
        <w:t>...</w:t>
      </w:r>
      <w:r w:rsidR="00C33209" w:rsidRPr="00C33209">
        <w:rPr>
          <w:rFonts w:ascii="Times New Roman" w:hAnsi="Times New Roman"/>
          <w:noProof/>
          <w:sz w:val="24"/>
          <w:szCs w:val="24"/>
        </w:rPr>
        <w:t>...</w:t>
      </w:r>
      <w:r w:rsidR="0025153D" w:rsidRPr="00C33209">
        <w:rPr>
          <w:rFonts w:ascii="Times New Roman" w:hAnsi="Times New Roman"/>
          <w:noProof/>
          <w:sz w:val="24"/>
          <w:szCs w:val="24"/>
        </w:rPr>
        <w:t>................……………</w:t>
      </w:r>
      <w:r w:rsidR="003B1338" w:rsidRPr="00C33209">
        <w:rPr>
          <w:rFonts w:ascii="Times New Roman" w:hAnsi="Times New Roman"/>
          <w:noProof/>
          <w:sz w:val="24"/>
          <w:szCs w:val="24"/>
        </w:rPr>
        <w:t>.</w:t>
      </w:r>
      <w:r w:rsidR="00C33209">
        <w:rPr>
          <w:rFonts w:ascii="Times New Roman" w:hAnsi="Times New Roman"/>
          <w:noProof/>
          <w:sz w:val="24"/>
          <w:szCs w:val="24"/>
        </w:rPr>
        <w:t>……………...</w:t>
      </w:r>
      <w:r w:rsidR="000C06B8">
        <w:rPr>
          <w:rFonts w:ascii="Times New Roman" w:hAnsi="Times New Roman"/>
          <w:noProof/>
          <w:sz w:val="24"/>
          <w:szCs w:val="24"/>
        </w:rPr>
        <w:t>….</w:t>
      </w:r>
      <w:r w:rsidR="00021C6E">
        <w:rPr>
          <w:rFonts w:ascii="Times New Roman" w:hAnsi="Times New Roman"/>
          <w:noProof/>
          <w:sz w:val="24"/>
          <w:szCs w:val="24"/>
        </w:rPr>
        <w:t>5</w:t>
      </w:r>
    </w:p>
    <w:p w:rsidR="0025153D" w:rsidRPr="00C33209" w:rsidRDefault="00DC036A" w:rsidP="00C33209">
      <w:pPr>
        <w:pStyle w:val="30"/>
        <w:numPr>
          <w:ilvl w:val="0"/>
          <w:numId w:val="15"/>
        </w:numPr>
        <w:spacing w:line="36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Сроки ввода, с</w:t>
      </w:r>
      <w:r w:rsidR="0025153D" w:rsidRPr="00C33209">
        <w:rPr>
          <w:rFonts w:ascii="Times New Roman" w:hAnsi="Times New Roman"/>
          <w:noProof/>
          <w:sz w:val="24"/>
          <w:szCs w:val="24"/>
        </w:rPr>
        <w:t>тоим</w:t>
      </w:r>
      <w:r>
        <w:rPr>
          <w:rFonts w:ascii="Times New Roman" w:hAnsi="Times New Roman"/>
          <w:noProof/>
          <w:sz w:val="24"/>
          <w:szCs w:val="24"/>
        </w:rPr>
        <w:t>ость и источники финансирования</w:t>
      </w:r>
      <w:r w:rsidR="0025153D" w:rsidRPr="00C33209">
        <w:rPr>
          <w:rFonts w:ascii="Times New Roman" w:hAnsi="Times New Roman"/>
          <w:noProof/>
          <w:sz w:val="24"/>
          <w:szCs w:val="24"/>
        </w:rPr>
        <w:t>...............</w:t>
      </w:r>
      <w:r w:rsidR="00C33209">
        <w:rPr>
          <w:rFonts w:ascii="Times New Roman" w:hAnsi="Times New Roman"/>
          <w:noProof/>
          <w:sz w:val="24"/>
          <w:szCs w:val="24"/>
        </w:rPr>
        <w:t>..............</w:t>
      </w:r>
      <w:r w:rsidR="0025153D" w:rsidRPr="00C33209">
        <w:rPr>
          <w:rFonts w:ascii="Times New Roman" w:hAnsi="Times New Roman"/>
          <w:noProof/>
          <w:sz w:val="24"/>
          <w:szCs w:val="24"/>
        </w:rPr>
        <w:t>……………</w:t>
      </w:r>
      <w:r w:rsidR="003B1338" w:rsidRPr="00C33209">
        <w:rPr>
          <w:rFonts w:ascii="Times New Roman" w:hAnsi="Times New Roman"/>
          <w:noProof/>
          <w:sz w:val="24"/>
          <w:szCs w:val="24"/>
        </w:rPr>
        <w:t>…</w:t>
      </w:r>
      <w:r w:rsidR="000C06B8">
        <w:rPr>
          <w:rFonts w:ascii="Times New Roman" w:hAnsi="Times New Roman"/>
          <w:noProof/>
          <w:sz w:val="24"/>
          <w:szCs w:val="24"/>
        </w:rPr>
        <w:t>.</w:t>
      </w:r>
      <w:r w:rsidR="006131F5">
        <w:rPr>
          <w:rFonts w:ascii="Times New Roman" w:hAnsi="Times New Roman"/>
          <w:noProof/>
          <w:sz w:val="24"/>
          <w:szCs w:val="24"/>
        </w:rPr>
        <w:t>5</w:t>
      </w:r>
    </w:p>
    <w:p w:rsidR="0025153D" w:rsidRPr="00C33209" w:rsidRDefault="0025153D" w:rsidP="0025153D">
      <w:pPr>
        <w:pStyle w:val="af7"/>
        <w:spacing w:line="360" w:lineRule="auto"/>
        <w:ind w:left="928"/>
        <w:rPr>
          <w:rFonts w:ascii="Times New Roman" w:hAnsi="Times New Roman" w:cs="Times New Roman"/>
          <w:sz w:val="24"/>
          <w:szCs w:val="24"/>
        </w:rPr>
      </w:pPr>
    </w:p>
    <w:p w:rsidR="003B1338" w:rsidRPr="0012385D" w:rsidRDefault="003B1338" w:rsidP="0025153D">
      <w:pPr>
        <w:pStyle w:val="af7"/>
        <w:spacing w:line="360" w:lineRule="auto"/>
        <w:ind w:left="928"/>
        <w:rPr>
          <w:sz w:val="24"/>
          <w:szCs w:val="24"/>
        </w:rPr>
      </w:pPr>
    </w:p>
    <w:p w:rsidR="0025153D" w:rsidRPr="0012385D" w:rsidRDefault="0025153D" w:rsidP="0025153D">
      <w:pPr>
        <w:pStyle w:val="af7"/>
        <w:spacing w:line="360" w:lineRule="auto"/>
        <w:ind w:left="928"/>
        <w:rPr>
          <w:sz w:val="24"/>
          <w:szCs w:val="24"/>
        </w:rPr>
      </w:pPr>
      <w:r>
        <w:rPr>
          <w:sz w:val="24"/>
          <w:szCs w:val="24"/>
        </w:rPr>
        <w:softHyphen/>
      </w:r>
    </w:p>
    <w:p w:rsidR="0025153D" w:rsidRPr="0012385D" w:rsidRDefault="0025153D" w:rsidP="0025153D">
      <w:pPr>
        <w:pStyle w:val="af7"/>
        <w:spacing w:line="360" w:lineRule="auto"/>
        <w:ind w:left="928"/>
        <w:rPr>
          <w:sz w:val="24"/>
          <w:szCs w:val="24"/>
        </w:rPr>
      </w:pPr>
    </w:p>
    <w:p w:rsidR="0025153D" w:rsidRPr="0012385D" w:rsidRDefault="0025153D" w:rsidP="0025153D">
      <w:pPr>
        <w:pStyle w:val="af7"/>
        <w:spacing w:line="360" w:lineRule="auto"/>
        <w:ind w:left="928"/>
        <w:rPr>
          <w:sz w:val="24"/>
          <w:szCs w:val="24"/>
        </w:rPr>
      </w:pPr>
    </w:p>
    <w:p w:rsidR="0025153D" w:rsidRPr="0012385D" w:rsidRDefault="0025153D" w:rsidP="0025153D">
      <w:pPr>
        <w:pStyle w:val="af7"/>
        <w:spacing w:line="360" w:lineRule="auto"/>
        <w:ind w:left="928"/>
        <w:rPr>
          <w:rFonts w:eastAsia="Times New Roman" w:cs="Times New Roman"/>
          <w:color w:val="000000"/>
          <w:sz w:val="24"/>
          <w:szCs w:val="24"/>
        </w:rPr>
      </w:pPr>
    </w:p>
    <w:p w:rsidR="0025153D" w:rsidRPr="0012385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Pr="0012385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Pr="0012385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Pr="0012385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Pr="0012385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Default="0025153D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F1556" w:rsidRDefault="002F1556" w:rsidP="0025153D">
      <w:pPr>
        <w:ind w:firstLine="708"/>
        <w:jc w:val="center"/>
        <w:rPr>
          <w:rFonts w:asciiTheme="majorHAnsi" w:hAnsiTheme="majorHAnsi"/>
          <w:b/>
          <w:sz w:val="28"/>
        </w:rPr>
      </w:pPr>
    </w:p>
    <w:p w:rsidR="0025153D" w:rsidRPr="005A2098" w:rsidRDefault="0025153D" w:rsidP="005A2098">
      <w:pPr>
        <w:jc w:val="both"/>
        <w:rPr>
          <w:b/>
          <w:sz w:val="26"/>
          <w:szCs w:val="26"/>
        </w:rPr>
      </w:pPr>
    </w:p>
    <w:p w:rsidR="0025153D" w:rsidRPr="008B6089" w:rsidRDefault="0025153D" w:rsidP="0025153D">
      <w:pPr>
        <w:pStyle w:val="1"/>
        <w:numPr>
          <w:ilvl w:val="0"/>
          <w:numId w:val="9"/>
        </w:numPr>
        <w:tabs>
          <w:tab w:val="left" w:pos="567"/>
        </w:tabs>
        <w:ind w:left="0" w:firstLine="0"/>
        <w:rPr>
          <w:rFonts w:ascii="Times New Roman" w:hAnsi="Times New Roman" w:cs="Times New Roman"/>
          <w:color w:val="auto"/>
        </w:rPr>
      </w:pPr>
      <w:bookmarkStart w:id="1" w:name="_Toc406441209"/>
      <w:bookmarkStart w:id="2" w:name="_Toc406444832"/>
      <w:bookmarkStart w:id="3" w:name="_Toc406445262"/>
      <w:bookmarkStart w:id="4" w:name="_Toc406445449"/>
      <w:r w:rsidRPr="008B6089">
        <w:rPr>
          <w:rFonts w:ascii="Times New Roman" w:hAnsi="Times New Roman" w:cs="Times New Roman"/>
          <w:color w:val="auto"/>
        </w:rPr>
        <w:lastRenderedPageBreak/>
        <w:t>О</w:t>
      </w:r>
      <w:r w:rsidR="005A2098" w:rsidRPr="008B6089">
        <w:rPr>
          <w:rFonts w:ascii="Times New Roman" w:hAnsi="Times New Roman" w:cs="Times New Roman"/>
          <w:color w:val="auto"/>
        </w:rPr>
        <w:t>бщие с</w:t>
      </w:r>
      <w:r w:rsidRPr="008B6089">
        <w:rPr>
          <w:rFonts w:ascii="Times New Roman" w:hAnsi="Times New Roman" w:cs="Times New Roman"/>
          <w:color w:val="auto"/>
        </w:rPr>
        <w:t>ведения об Обществе</w:t>
      </w:r>
      <w:bookmarkEnd w:id="1"/>
      <w:bookmarkEnd w:id="2"/>
      <w:bookmarkEnd w:id="3"/>
      <w:bookmarkEnd w:id="4"/>
    </w:p>
    <w:p w:rsidR="00083061" w:rsidRPr="00083061" w:rsidRDefault="00083061" w:rsidP="00083061"/>
    <w:p w:rsidR="001011B9" w:rsidRDefault="001011B9" w:rsidP="001011B9">
      <w:pPr>
        <w:ind w:firstLine="680"/>
        <w:jc w:val="both"/>
      </w:pPr>
      <w:bookmarkStart w:id="5" w:name="_Toc406441210"/>
      <w:bookmarkStart w:id="6" w:name="_Toc406444833"/>
      <w:bookmarkStart w:id="7" w:name="_Toc406445263"/>
      <w:bookmarkStart w:id="8" w:name="_Toc406445450"/>
      <w:r w:rsidRPr="00B150DF">
        <w:t>Общество с ограниченной ответственностью «ТЭК-Энерго» (ООО «ТЭК-Энерго») создано 6 октября 2010г.</w:t>
      </w:r>
    </w:p>
    <w:p w:rsidR="00183B1D" w:rsidRDefault="00183B1D" w:rsidP="00183B1D">
      <w:pPr>
        <w:ind w:firstLine="680"/>
        <w:jc w:val="both"/>
      </w:pPr>
      <w:r w:rsidRPr="00B150DF">
        <w:t>15.05.2014г. Приказом Минэнерго РФ № 269 ООО «ТЭК-Энерго» присвоен статус гарантирующего поставщика на территории Брянской области с 01.06.2014г.</w:t>
      </w:r>
    </w:p>
    <w:p w:rsidR="00183B1D" w:rsidRPr="00B150DF" w:rsidRDefault="00183B1D" w:rsidP="00183B1D">
      <w:pPr>
        <w:tabs>
          <w:tab w:val="left" w:pos="0"/>
        </w:tabs>
        <w:ind w:firstLine="567"/>
        <w:jc w:val="both"/>
      </w:pPr>
      <w:r w:rsidRPr="004506FF">
        <w:rPr>
          <w:b/>
          <w:bCs/>
        </w:rPr>
        <w:t>На основании решения внеочередного общего собрания участников Общества с ограниченной ответственностью «ТЭК-Энерго» от 12.11.2018 (протокол № 2/18)</w:t>
      </w:r>
      <w:r w:rsidRPr="004506FF">
        <w:rPr>
          <w:b/>
        </w:rPr>
        <w:t xml:space="preserve"> об изменении наименования общества и утверждении Устава общества, а также в соответствии с приказом ООО</w:t>
      </w:r>
      <w:r>
        <w:t xml:space="preserve"> </w:t>
      </w:r>
      <w:r w:rsidRPr="004506FF">
        <w:rPr>
          <w:b/>
        </w:rPr>
        <w:t>«Газпром энергосбыт Брянск» от 27.11.2018 № 277 «Об изменении</w:t>
      </w:r>
      <w:r>
        <w:t xml:space="preserve"> </w:t>
      </w:r>
      <w:r w:rsidRPr="004506FF">
        <w:rPr>
          <w:b/>
        </w:rPr>
        <w:t xml:space="preserve">наименования Общества» </w:t>
      </w:r>
      <w:r w:rsidRPr="004506FF">
        <w:rPr>
          <w:b/>
          <w:bCs/>
        </w:rPr>
        <w:t>ООО «ТЭК-Энерго» было переименовано в ООО «Газпром энергосбыт Брянск».</w:t>
      </w:r>
    </w:p>
    <w:p w:rsidR="001011B9" w:rsidRPr="00B150DF" w:rsidRDefault="001011B9" w:rsidP="001011B9">
      <w:pPr>
        <w:ind w:firstLine="680"/>
        <w:jc w:val="both"/>
      </w:pPr>
      <w:r w:rsidRPr="00B150DF">
        <w:t xml:space="preserve">Уставный капитал </w:t>
      </w:r>
      <w:r w:rsidR="00183B1D" w:rsidRPr="00183B1D">
        <w:t>ООО «Газпром энергосбыт Брянск»</w:t>
      </w:r>
      <w:r w:rsidR="00183B1D" w:rsidRPr="004506FF">
        <w:rPr>
          <w:b/>
        </w:rPr>
        <w:t xml:space="preserve"> </w:t>
      </w:r>
      <w:r w:rsidRPr="00B150DF">
        <w:t xml:space="preserve">составляет </w:t>
      </w:r>
      <w:r w:rsidR="00232F27">
        <w:t>136 261 450 (сто тридцать шесть миллионов двести шестьдесят одна тысяча четыреста пятьдесят</w:t>
      </w:r>
      <w:r w:rsidRPr="00B150DF">
        <w:t>) рублей.</w:t>
      </w:r>
    </w:p>
    <w:p w:rsidR="001011B9" w:rsidRPr="00B150DF" w:rsidRDefault="001011B9" w:rsidP="001011B9">
      <w:pPr>
        <w:ind w:firstLine="680"/>
        <w:jc w:val="both"/>
      </w:pPr>
      <w:r w:rsidRPr="00B150DF">
        <w:t xml:space="preserve">Состав участников </w:t>
      </w:r>
      <w:r w:rsidR="00183B1D" w:rsidRPr="00183B1D">
        <w:t>ООО «Газпром энергосбыт Брянск»</w:t>
      </w:r>
      <w:r w:rsidRPr="00183B1D">
        <w:t>:</w:t>
      </w:r>
    </w:p>
    <w:p w:rsidR="001011B9" w:rsidRPr="00B150DF" w:rsidRDefault="00232F27" w:rsidP="001011B9">
      <w:pPr>
        <w:ind w:firstLine="680"/>
        <w:jc w:val="both"/>
      </w:pPr>
      <w:r>
        <w:t>1. А</w:t>
      </w:r>
      <w:r w:rsidR="001011B9" w:rsidRPr="00B150DF">
        <w:t>кционерное общество «</w:t>
      </w:r>
      <w:r w:rsidR="00EE1F7D">
        <w:t>Газпром энергосбыт Тюмень»</w:t>
      </w:r>
      <w:r>
        <w:t xml:space="preserve"> (</w:t>
      </w:r>
      <w:r w:rsidR="001011B9" w:rsidRPr="00B150DF">
        <w:t>АО «</w:t>
      </w:r>
      <w:r w:rsidR="00713BC8">
        <w:t>Газпром энергосбыт Тюмень</w:t>
      </w:r>
      <w:r>
        <w:t>»): доля участия – 99,99</w:t>
      </w:r>
      <w:r w:rsidR="001011B9" w:rsidRPr="00B150DF">
        <w:t xml:space="preserve">%, номинальная стоимость доли – </w:t>
      </w:r>
      <w:r>
        <w:t>136 246 406</w:t>
      </w:r>
      <w:r w:rsidR="009E73DA">
        <w:t xml:space="preserve"> </w:t>
      </w:r>
      <w:r w:rsidR="001011B9" w:rsidRPr="00B150DF">
        <w:t>рублей;</w:t>
      </w:r>
    </w:p>
    <w:p w:rsidR="001011B9" w:rsidRPr="00B150DF" w:rsidRDefault="00232F27" w:rsidP="001011B9">
      <w:pPr>
        <w:ind w:firstLine="680"/>
        <w:jc w:val="both"/>
      </w:pPr>
      <w:r>
        <w:t>2. Закрытое акционерное о</w:t>
      </w:r>
      <w:r w:rsidR="001011B9" w:rsidRPr="00B150DF">
        <w:t xml:space="preserve">бщество «Инжиниринговая компания «Энергетические </w:t>
      </w:r>
      <w:r>
        <w:t>решения в электроэнергетике» (ЗА</w:t>
      </w:r>
      <w:r w:rsidR="001011B9" w:rsidRPr="00B150DF">
        <w:t>О «Инжиниринговая компания «Энергетические решения в элект</w:t>
      </w:r>
      <w:r>
        <w:t xml:space="preserve">роэнергетике»): доля участия – </w:t>
      </w:r>
      <w:r w:rsidR="001011B9" w:rsidRPr="00B150DF">
        <w:t>0</w:t>
      </w:r>
      <w:r>
        <w:t>,01</w:t>
      </w:r>
      <w:r w:rsidR="001011B9" w:rsidRPr="00B150DF">
        <w:t>%, ном</w:t>
      </w:r>
      <w:r>
        <w:t>инальная стоимость доли – 15 043</w:t>
      </w:r>
      <w:r w:rsidR="001011B9" w:rsidRPr="00B150DF">
        <w:t xml:space="preserve"> рублей.</w:t>
      </w:r>
    </w:p>
    <w:p w:rsidR="007C7316" w:rsidRDefault="007C7316" w:rsidP="001011B9">
      <w:pPr>
        <w:ind w:firstLine="680"/>
        <w:jc w:val="both"/>
      </w:pPr>
    </w:p>
    <w:p w:rsidR="001011B9" w:rsidRPr="00B150DF" w:rsidRDefault="001011B9" w:rsidP="001011B9">
      <w:pPr>
        <w:ind w:firstLine="680"/>
        <w:jc w:val="both"/>
      </w:pPr>
      <w:r w:rsidRPr="00B150DF">
        <w:t xml:space="preserve">Органы управления Обществом: </w:t>
      </w:r>
    </w:p>
    <w:p w:rsidR="001011B9" w:rsidRPr="00B150DF" w:rsidRDefault="007C7316" w:rsidP="007C7316">
      <w:pPr>
        <w:ind w:left="927"/>
        <w:jc w:val="both"/>
      </w:pPr>
      <w:r>
        <w:t xml:space="preserve"> </w:t>
      </w:r>
      <w:r w:rsidR="001011B9" w:rsidRPr="00B150DF">
        <w:t>Общее собрание участников;</w:t>
      </w:r>
    </w:p>
    <w:p w:rsidR="001011B9" w:rsidRPr="00B150DF" w:rsidRDefault="007C7316" w:rsidP="007C7316">
      <w:pPr>
        <w:ind w:left="927"/>
        <w:jc w:val="both"/>
      </w:pPr>
      <w:r>
        <w:t xml:space="preserve"> </w:t>
      </w:r>
      <w:r w:rsidR="001011B9" w:rsidRPr="00B150DF">
        <w:t>Совет директоров;</w:t>
      </w:r>
    </w:p>
    <w:p w:rsidR="001011B9" w:rsidRDefault="007C7316" w:rsidP="007C7316">
      <w:pPr>
        <w:ind w:left="927"/>
        <w:jc w:val="both"/>
      </w:pPr>
      <w:r>
        <w:t xml:space="preserve"> </w:t>
      </w:r>
      <w:r w:rsidR="001011B9" w:rsidRPr="00B150DF">
        <w:t>Единоличный исполнительный орган – генеральный директор.</w:t>
      </w:r>
    </w:p>
    <w:p w:rsidR="007C7316" w:rsidRPr="00B150DF" w:rsidRDefault="007C7316" w:rsidP="007C7316">
      <w:pPr>
        <w:ind w:left="927"/>
        <w:jc w:val="both"/>
      </w:pPr>
    </w:p>
    <w:p w:rsidR="001011B9" w:rsidRPr="00B150DF" w:rsidRDefault="001011B9" w:rsidP="001011B9">
      <w:pPr>
        <w:ind w:firstLine="680"/>
        <w:jc w:val="both"/>
      </w:pPr>
      <w:r w:rsidRPr="00B150DF">
        <w:t>ООО «</w:t>
      </w:r>
      <w:r w:rsidR="004205AC">
        <w:t>Газпром энергосбыт Брянск</w:t>
      </w:r>
      <w:r w:rsidRPr="00B150DF">
        <w:t>» включает в себя филиал «Брянскэнергосбыт».</w:t>
      </w:r>
    </w:p>
    <w:p w:rsidR="001011B9" w:rsidRPr="00B150DF" w:rsidRDefault="001011B9" w:rsidP="004205AC">
      <w:pPr>
        <w:ind w:firstLine="680"/>
        <w:jc w:val="both"/>
      </w:pPr>
      <w:r w:rsidRPr="00B150DF">
        <w:t>В состав филиала «Брянскэнергосбыт» входят 3 отделения и 26 участк</w:t>
      </w:r>
      <w:r w:rsidR="009E73DA">
        <w:t>ов, расположенных на территории</w:t>
      </w:r>
      <w:r w:rsidR="00335F64">
        <w:t xml:space="preserve"> </w:t>
      </w:r>
      <w:r w:rsidRPr="00B150DF">
        <w:t xml:space="preserve">Брянской области. Кроме того, </w:t>
      </w:r>
      <w:r w:rsidR="004205AC">
        <w:t>филиал</w:t>
      </w:r>
      <w:r w:rsidRPr="00B150DF">
        <w:t xml:space="preserve"> осуществляет обслуживание потребителей с помощью ЦОКов (центр</w:t>
      </w:r>
      <w:r w:rsidR="004205AC">
        <w:t>ов</w:t>
      </w:r>
      <w:r w:rsidRPr="00B150DF">
        <w:t xml:space="preserve"> обслуживания клиентов) и имеет свой РКЦ (расчетно-кассовый центр), на обслуживании у которого находится более 550 тысяч абонентов.</w:t>
      </w:r>
    </w:p>
    <w:p w:rsidR="001011B9" w:rsidRPr="00B150DF" w:rsidRDefault="001011B9" w:rsidP="001011B9">
      <w:pPr>
        <w:ind w:firstLine="680"/>
        <w:jc w:val="both"/>
      </w:pPr>
      <w:r w:rsidRPr="00B150DF">
        <w:t>ООО «</w:t>
      </w:r>
      <w:r w:rsidR="004205AC">
        <w:t>Газпром энергосбыт Брянск</w:t>
      </w:r>
      <w:r w:rsidRPr="00B150DF">
        <w:t>» имеет статус субъекта ОРЭМ, осуществляет деятельность в качестве независимой энергосбытовой компании</w:t>
      </w:r>
      <w:r w:rsidR="008C721D">
        <w:t xml:space="preserve"> - поставщика</w:t>
      </w:r>
      <w:r w:rsidRPr="00B150DF">
        <w:t xml:space="preserve"> (далее – НП) на территории Ханты-Мансийского автономного округа и гарантирующего поставщика (далее – ГП) на территории Брянской области. </w:t>
      </w:r>
    </w:p>
    <w:p w:rsidR="008C721D" w:rsidRDefault="001011B9" w:rsidP="004205AC">
      <w:pPr>
        <w:ind w:firstLine="680"/>
        <w:jc w:val="both"/>
      </w:pPr>
      <w:r w:rsidRPr="00B150DF">
        <w:t>Общество представляет интересы потребителей на оптовом рынке, регулирует отношения с инфраструктурными и сетевыми организациями, обеспечивает надежную поставку энергоресурсов в необходимом объеме. С момента основания Общество осуществляет деятельность в качестве независимой энергосбытовой компании и предоставляет полный спектр услуг в области энергоснабжения всем категориям потребителей электроэнергии, а также услуги в сфере энергосбережения.</w:t>
      </w:r>
    </w:p>
    <w:p w:rsidR="001011B9" w:rsidRPr="00B150DF" w:rsidRDefault="001011B9" w:rsidP="001011B9">
      <w:pPr>
        <w:ind w:firstLine="680"/>
        <w:jc w:val="both"/>
      </w:pPr>
      <w:r w:rsidRPr="00B150DF">
        <w:t>Основные клиенты Общества, действующего в качестве НП – предприятия электроэнергетической отрасли, а ГП обслуживает бюджетозависимые организации, средние и мелкие промышленные п</w:t>
      </w:r>
      <w:r w:rsidR="00A134BB">
        <w:t>редприятия, организации сельско</w:t>
      </w:r>
      <w:r w:rsidRPr="00B150DF">
        <w:t xml:space="preserve">хозяйственной отрасли, ЖКУ, а также население. </w:t>
      </w:r>
    </w:p>
    <w:p w:rsidR="001011B9" w:rsidRPr="00B150DF" w:rsidRDefault="001011B9" w:rsidP="001011B9">
      <w:pPr>
        <w:ind w:firstLine="680"/>
        <w:jc w:val="both"/>
      </w:pPr>
      <w:r w:rsidRPr="00B150DF">
        <w:t xml:space="preserve">Тарифно-ценовая политика </w:t>
      </w:r>
      <w:r w:rsidR="008C721D">
        <w:t>Общества</w:t>
      </w:r>
      <w:r w:rsidRPr="00B150DF">
        <w:t xml:space="preserve"> отвечает требованиям нормативных документов электроэнергетической о</w:t>
      </w:r>
      <w:r w:rsidR="008C721D">
        <w:t>трасли. В части деятельности ГП</w:t>
      </w:r>
      <w:r w:rsidRPr="00B150DF">
        <w:t xml:space="preserve"> Общество регулируется государством, а в отношении неосновных видов и НП – рыночным ценообразованием.</w:t>
      </w:r>
    </w:p>
    <w:p w:rsidR="005A2098" w:rsidRDefault="001011B9" w:rsidP="001011B9">
      <w:pPr>
        <w:ind w:firstLine="680"/>
        <w:jc w:val="both"/>
      </w:pPr>
      <w:r w:rsidRPr="001302B2">
        <w:lastRenderedPageBreak/>
        <w:t>Суммарный объем поставки электроэнергии и мощности потребителям</w:t>
      </w:r>
      <w:r w:rsidR="005A2098">
        <w:t xml:space="preserve"> в качестве Гарантирующего поставщика</w:t>
      </w:r>
      <w:r w:rsidR="004506FF">
        <w:t xml:space="preserve"> </w:t>
      </w:r>
      <w:r w:rsidR="00E53DAE" w:rsidRPr="00E53DAE">
        <w:t>по итогам 2019</w:t>
      </w:r>
      <w:r w:rsidR="004506FF" w:rsidRPr="00E53DAE">
        <w:t xml:space="preserve"> года составил</w:t>
      </w:r>
      <w:r w:rsidRPr="00E53DAE">
        <w:t xml:space="preserve"> </w:t>
      </w:r>
      <w:r w:rsidR="00F77B4A" w:rsidRPr="00E53DAE">
        <w:t>3</w:t>
      </w:r>
      <w:r w:rsidR="00E53DAE" w:rsidRPr="00E53DAE">
        <w:t> </w:t>
      </w:r>
      <w:r w:rsidR="004506FF" w:rsidRPr="00E53DAE">
        <w:t>2</w:t>
      </w:r>
      <w:r w:rsidR="00E53DAE" w:rsidRPr="00E53DAE">
        <w:t>96</w:t>
      </w:r>
      <w:r w:rsidR="004506FF" w:rsidRPr="00E53DAE">
        <w:t>,5</w:t>
      </w:r>
      <w:r w:rsidR="00E53DAE" w:rsidRPr="00E53DAE">
        <w:t>5</w:t>
      </w:r>
      <w:r w:rsidRPr="00E53DAE">
        <w:t xml:space="preserve"> млн.</w:t>
      </w:r>
      <w:r w:rsidR="008C721D" w:rsidRPr="00E53DAE">
        <w:t xml:space="preserve"> </w:t>
      </w:r>
      <w:r w:rsidR="007C7316" w:rsidRPr="00E53DAE">
        <w:t>кВт</w:t>
      </w:r>
      <w:r w:rsidRPr="00E53DAE">
        <w:t>ч</w:t>
      </w:r>
      <w:r w:rsidR="007C7316" w:rsidRPr="00E53DAE">
        <w:t>.</w:t>
      </w:r>
    </w:p>
    <w:p w:rsidR="001011B9" w:rsidRPr="001302B2" w:rsidRDefault="001011B9" w:rsidP="001011B9">
      <w:pPr>
        <w:ind w:firstLine="680"/>
        <w:jc w:val="both"/>
      </w:pPr>
      <w:r w:rsidRPr="001302B2">
        <w:t>Общее колич</w:t>
      </w:r>
      <w:r w:rsidR="005A2098">
        <w:t>ество точек поставки,</w:t>
      </w:r>
      <w:r w:rsidRPr="001302B2">
        <w:t xml:space="preserve"> обслуживаемых ГП</w:t>
      </w:r>
      <w:r w:rsidR="005A2098">
        <w:t>, составляет</w:t>
      </w:r>
      <w:r w:rsidRPr="001302B2">
        <w:t xml:space="preserve"> </w:t>
      </w:r>
      <w:r w:rsidR="00E53DAE" w:rsidRPr="00E53DAE">
        <w:t>567 774</w:t>
      </w:r>
      <w:r w:rsidR="005A2098" w:rsidRPr="00E53DAE">
        <w:t xml:space="preserve"> шт.</w:t>
      </w:r>
    </w:p>
    <w:p w:rsidR="008B6089" w:rsidRDefault="001011B9" w:rsidP="008B6089">
      <w:pPr>
        <w:ind w:firstLine="680"/>
        <w:jc w:val="both"/>
      </w:pPr>
      <w:r w:rsidRPr="001302B2">
        <w:t xml:space="preserve">Основная доля клиентской базы приходится на ГП по субъекту Брянская область, в том числе </w:t>
      </w:r>
      <w:r w:rsidR="00ED7EB3" w:rsidRPr="00E53DAE">
        <w:t xml:space="preserve">14 </w:t>
      </w:r>
      <w:r w:rsidR="00E53DAE" w:rsidRPr="00E53DAE">
        <w:t>6</w:t>
      </w:r>
      <w:r w:rsidR="001302B2" w:rsidRPr="00E53DAE">
        <w:t>6</w:t>
      </w:r>
      <w:r w:rsidR="00E53DAE" w:rsidRPr="00E53DAE">
        <w:t>0</w:t>
      </w:r>
      <w:r w:rsidRPr="00E53DAE">
        <w:t xml:space="preserve"> шт. договоров энергоснабжения юридических лиц и </w:t>
      </w:r>
      <w:r w:rsidR="00E53DAE" w:rsidRPr="00E53DAE">
        <w:t>514</w:t>
      </w:r>
      <w:r w:rsidR="004506FF" w:rsidRPr="00E53DAE">
        <w:t xml:space="preserve"> </w:t>
      </w:r>
      <w:r w:rsidR="00E53DAE" w:rsidRPr="00E53DAE">
        <w:t>658</w:t>
      </w:r>
      <w:r w:rsidRPr="00E53DAE">
        <w:t xml:space="preserve"> шт. договоров с физическими лицами.</w:t>
      </w:r>
    </w:p>
    <w:p w:rsidR="00662553" w:rsidRDefault="00662553" w:rsidP="0056594D">
      <w:pPr>
        <w:jc w:val="both"/>
      </w:pPr>
    </w:p>
    <w:p w:rsidR="00E41092" w:rsidRPr="008B6089" w:rsidRDefault="00E41092" w:rsidP="004205AC">
      <w:pPr>
        <w:pStyle w:val="af7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089">
        <w:rPr>
          <w:rFonts w:ascii="Times New Roman" w:hAnsi="Times New Roman" w:cs="Times New Roman"/>
          <w:b/>
          <w:sz w:val="28"/>
          <w:szCs w:val="28"/>
        </w:rPr>
        <w:t xml:space="preserve">Необходимость </w:t>
      </w:r>
      <w:r w:rsidR="00E53DAE" w:rsidRPr="008B6089">
        <w:rPr>
          <w:rFonts w:ascii="Times New Roman" w:hAnsi="Times New Roman" w:cs="Times New Roman"/>
          <w:b/>
          <w:sz w:val="28"/>
          <w:szCs w:val="28"/>
        </w:rPr>
        <w:t>корректировки</w:t>
      </w:r>
      <w:r w:rsidR="000922DF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74646F" w:rsidRPr="008B6089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0922DF">
        <w:rPr>
          <w:rFonts w:ascii="Times New Roman" w:hAnsi="Times New Roman" w:cs="Times New Roman"/>
          <w:b/>
          <w:sz w:val="28"/>
          <w:szCs w:val="28"/>
        </w:rPr>
        <w:t xml:space="preserve">предложения  </w:t>
      </w:r>
    </w:p>
    <w:p w:rsidR="00CB6C38" w:rsidRDefault="00CB6C38" w:rsidP="008B6089">
      <w:pPr>
        <w:autoSpaceDE w:val="0"/>
        <w:autoSpaceDN w:val="0"/>
        <w:adjustRightInd w:val="0"/>
        <w:spacing w:before="260"/>
        <w:ind w:firstLine="540"/>
        <w:jc w:val="both"/>
      </w:pPr>
      <w:r>
        <w:t xml:space="preserve">Инвестиционная программа филиала «Брянскэнергосбыт» ООО «Газпром энергосбыт Брянск» утверждена приказом Департамента ТЭК и ЖКХ Брянской области от </w:t>
      </w:r>
      <w:r w:rsidR="008B6089">
        <w:t>29 октября 2018 года № 121 на 2019 – 2021 гг.</w:t>
      </w:r>
    </w:p>
    <w:p w:rsidR="00CB6C38" w:rsidRDefault="00E53DAE" w:rsidP="00CB6C38">
      <w:pPr>
        <w:autoSpaceDE w:val="0"/>
        <w:autoSpaceDN w:val="0"/>
        <w:adjustRightInd w:val="0"/>
        <w:spacing w:before="260"/>
        <w:ind w:firstLine="540"/>
        <w:jc w:val="both"/>
      </w:pPr>
      <w:r>
        <w:t>Корректировка</w:t>
      </w:r>
      <w:r w:rsidR="00E41092">
        <w:t xml:space="preserve"> Инвестиционной программы филиала «Б</w:t>
      </w:r>
      <w:r w:rsidR="000B4BEC">
        <w:t>рянскэнергосбыт» ООО «Газпром энергосбыт Брянск</w:t>
      </w:r>
      <w:r w:rsidR="00E41092">
        <w:t>» обусловлена необходимостью</w:t>
      </w:r>
      <w:r>
        <w:t xml:space="preserve"> </w:t>
      </w:r>
      <w:r>
        <w:rPr>
          <w:rFonts w:eastAsiaTheme="minorHAnsi"/>
          <w:lang w:eastAsia="en-US"/>
        </w:rPr>
        <w:t>исполнения</w:t>
      </w:r>
      <w:r w:rsidRPr="006A6F77">
        <w:rPr>
          <w:rFonts w:eastAsiaTheme="minorHAnsi"/>
          <w:lang w:eastAsia="en-US"/>
        </w:rPr>
        <w:t xml:space="preserve"> положений действующих законодательных актов России в сфере электроэнергетики о необходимости оснащения жилых помещений интеллектуальными (умными) приборами учета (Федеральный Закон РФ № 522 от 27.12.2018 г</w:t>
      </w:r>
      <w:r w:rsidR="00E41092">
        <w:t>.</w:t>
      </w:r>
      <w:r>
        <w:t>).</w:t>
      </w:r>
      <w:r w:rsidR="00CB6C38">
        <w:t xml:space="preserve"> В соответствии с п.5 указанного нормативного акта «</w:t>
      </w:r>
      <w:r w:rsidR="00CB6C38" w:rsidRPr="00CB6C38">
        <w:t xml:space="preserve">Гарантирующие поставщики в ходе обеспечения коммерческого учета электрической энергии (мощности) на розничных рынках и для оказания коммунальных услуг по электроснабжению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</w:t>
      </w:r>
      <w:r w:rsidR="00CB6C38" w:rsidRPr="00CB6C38">
        <w:rPr>
          <w:b/>
        </w:rPr>
        <w:t>в отношении многоквартирного дома и помещений в многоквартирных домах</w:t>
      </w:r>
      <w:r w:rsidR="00CB6C38" w:rsidRPr="00CB6C38">
        <w:t>, электроснабжение которых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также последующую их эксплуатацию».</w:t>
      </w:r>
    </w:p>
    <w:p w:rsidR="00B15898" w:rsidRDefault="00B15898" w:rsidP="00B15898">
      <w:pPr>
        <w:jc w:val="both"/>
      </w:pPr>
      <w:r>
        <w:rPr>
          <w:b/>
          <w:bCs/>
        </w:rPr>
        <w:t>Р</w:t>
      </w:r>
      <w:r w:rsidRPr="00B15898">
        <w:rPr>
          <w:b/>
          <w:bCs/>
        </w:rPr>
        <w:t>еализация требований по оснащению</w:t>
      </w:r>
      <w:r w:rsidRPr="00B15898">
        <w:t xml:space="preserve"> гарантирующими поставщиками </w:t>
      </w:r>
      <w:r w:rsidRPr="00B15898">
        <w:rPr>
          <w:b/>
          <w:bCs/>
        </w:rPr>
        <w:t xml:space="preserve">потребителей интеллектуальными приборами учета установлена </w:t>
      </w:r>
      <w:r w:rsidRPr="00B15898">
        <w:t xml:space="preserve">вышеуказанным Федеральным законом </w:t>
      </w:r>
      <w:r w:rsidRPr="00B15898">
        <w:rPr>
          <w:b/>
          <w:bCs/>
        </w:rPr>
        <w:t>с 01.01.2021 года</w:t>
      </w:r>
      <w:r>
        <w:t xml:space="preserve">. В противном случае у гарантирующих поставщиков возникают риски наложения штрафных санкций за неисполнение возложенных ФЗ-522 обязанностей. </w:t>
      </w:r>
    </w:p>
    <w:p w:rsidR="00B15898" w:rsidRPr="00B15898" w:rsidRDefault="00B15898" w:rsidP="00B15898">
      <w:pPr>
        <w:spacing w:after="200" w:line="276" w:lineRule="auto"/>
        <w:jc w:val="both"/>
        <w:rPr>
          <w:rFonts w:eastAsiaTheme="minorHAnsi"/>
          <w:b/>
          <w:lang w:eastAsia="en-US"/>
        </w:rPr>
      </w:pPr>
      <w:r w:rsidRPr="00B15898">
        <w:rPr>
          <w:rFonts w:eastAsiaTheme="minorHAnsi"/>
          <w:b/>
          <w:lang w:eastAsia="en-US"/>
        </w:rPr>
        <w:t>Штрафы, риски, санкции</w:t>
      </w:r>
      <w:r>
        <w:rPr>
          <w:rFonts w:eastAsiaTheme="minorHAnsi"/>
          <w:b/>
          <w:lang w:eastAsia="en-US"/>
        </w:rPr>
        <w:t>,</w:t>
      </w:r>
      <w:r w:rsidRPr="00B15898">
        <w:rPr>
          <w:rFonts w:eastAsiaTheme="minorHAnsi"/>
          <w:b/>
          <w:lang w:eastAsia="en-US"/>
        </w:rPr>
        <w:t xml:space="preserve"> связанные с вступлением в силу 522-фз от 27.12.2018г. (анализ нормы права)</w:t>
      </w:r>
      <w:r>
        <w:rPr>
          <w:rFonts w:eastAsiaTheme="minorHAnsi"/>
          <w:b/>
          <w:lang w:eastAsia="en-US"/>
        </w:rPr>
        <w:t xml:space="preserve"> представлены в Приложении на 3-х листах.</w:t>
      </w:r>
    </w:p>
    <w:p w:rsidR="00E41092" w:rsidRDefault="00E41092" w:rsidP="00CB6C38">
      <w:pPr>
        <w:jc w:val="both"/>
      </w:pPr>
    </w:p>
    <w:p w:rsidR="00EC0CC0" w:rsidRPr="00B15898" w:rsidRDefault="00B15898" w:rsidP="00B15898">
      <w:pPr>
        <w:jc w:val="both"/>
      </w:pPr>
      <w:r>
        <w:t>Филиал</w:t>
      </w:r>
      <w:r w:rsidR="00083061" w:rsidRPr="00A41A32">
        <w:t xml:space="preserve"> «Брянскэнергосбыт» ООО «</w:t>
      </w:r>
      <w:r w:rsidR="000B4BEC">
        <w:t>Газпром энергосбыт Брянск</w:t>
      </w:r>
      <w:r>
        <w:t>» предлагает скорректировать на 2021 год Инвестиционный проект «Создание автоматизированной системы коммерческого учета электроэнергии бытовых потребителей (АСКУЭ БП), разделив его на две составляющих части</w:t>
      </w:r>
      <w:r w:rsidRPr="00B15898">
        <w:t>:</w:t>
      </w:r>
    </w:p>
    <w:p w:rsidR="007C162A" w:rsidRPr="00435AF7" w:rsidRDefault="007C162A" w:rsidP="00B15898">
      <w:pPr>
        <w:jc w:val="both"/>
        <w:rPr>
          <w:b/>
        </w:rPr>
      </w:pPr>
    </w:p>
    <w:p w:rsidR="00083061" w:rsidRDefault="00083061" w:rsidP="00B15898">
      <w:pPr>
        <w:pStyle w:val="af7"/>
        <w:numPr>
          <w:ilvl w:val="0"/>
          <w:numId w:val="42"/>
        </w:numPr>
        <w:jc w:val="both"/>
      </w:pPr>
      <w:r w:rsidRPr="00B15898">
        <w:t xml:space="preserve">Создание автоматизированной системы коммерческого учета электроэнергии </w:t>
      </w:r>
      <w:r w:rsidRPr="00B15898">
        <w:rPr>
          <w:b/>
        </w:rPr>
        <w:t>бытовых пот</w:t>
      </w:r>
      <w:r w:rsidR="00435AF7" w:rsidRPr="00B15898">
        <w:rPr>
          <w:b/>
        </w:rPr>
        <w:t>ребителей (АСКУЭ БП)</w:t>
      </w:r>
      <w:r w:rsidR="00B15898">
        <w:t xml:space="preserve"> – исполняется в соответствии с Приказом Департамента ТЭК и ЖКХ Брянской области от 29.10.2018 г. № 121 «Об утверждении инвестиционной программы</w:t>
      </w:r>
      <w:r w:rsidR="00747F68">
        <w:t xml:space="preserve"> филиала «Брянскэнергосбыт»</w:t>
      </w:r>
      <w:r w:rsidR="00B15898">
        <w:t xml:space="preserve"> ООО «ТЭК-Энерго» на 2019 – 2021 гг.»</w:t>
      </w:r>
      <w:r w:rsidR="0027279F" w:rsidRPr="0027279F">
        <w:t>.</w:t>
      </w:r>
    </w:p>
    <w:p w:rsidR="007C162A" w:rsidRPr="0027279F" w:rsidRDefault="007C162A" w:rsidP="007C162A">
      <w:pPr>
        <w:pStyle w:val="af7"/>
        <w:numPr>
          <w:ilvl w:val="0"/>
          <w:numId w:val="42"/>
        </w:numPr>
        <w:jc w:val="both"/>
      </w:pPr>
      <w:r w:rsidRPr="0027279F">
        <w:rPr>
          <w:rFonts w:ascii="Times New Roman" w:hAnsi="Times New Roman" w:cs="Times New Roman"/>
          <w:sz w:val="24"/>
          <w:szCs w:val="24"/>
        </w:rPr>
        <w:t xml:space="preserve">Создание автоматизированной системы коммерческого учета электроэнергии </w:t>
      </w:r>
      <w:r w:rsidRPr="0027279F">
        <w:rPr>
          <w:rFonts w:ascii="Times New Roman" w:hAnsi="Times New Roman" w:cs="Times New Roman"/>
          <w:b/>
          <w:sz w:val="24"/>
          <w:szCs w:val="24"/>
        </w:rPr>
        <w:t>многоквартирных домов (</w:t>
      </w:r>
      <w:r w:rsidR="00435AF7" w:rsidRPr="0027279F">
        <w:rPr>
          <w:rFonts w:ascii="Times New Roman" w:hAnsi="Times New Roman" w:cs="Times New Roman"/>
          <w:b/>
          <w:sz w:val="24"/>
          <w:szCs w:val="24"/>
        </w:rPr>
        <w:t>АСКУЭ</w:t>
      </w:r>
      <w:r w:rsidRPr="0027279F">
        <w:rPr>
          <w:rFonts w:ascii="Times New Roman" w:hAnsi="Times New Roman" w:cs="Times New Roman"/>
          <w:b/>
          <w:sz w:val="24"/>
          <w:szCs w:val="24"/>
        </w:rPr>
        <w:t xml:space="preserve"> МКД</w:t>
      </w:r>
      <w:r w:rsidR="0027279F">
        <w:rPr>
          <w:rFonts w:ascii="Times New Roman" w:hAnsi="Times New Roman" w:cs="Times New Roman"/>
          <w:b/>
          <w:sz w:val="24"/>
          <w:szCs w:val="24"/>
        </w:rPr>
        <w:t xml:space="preserve">) – </w:t>
      </w:r>
      <w:r w:rsidR="0027279F" w:rsidRPr="0027279F">
        <w:rPr>
          <w:rFonts w:ascii="Times New Roman" w:hAnsi="Times New Roman" w:cs="Times New Roman"/>
          <w:sz w:val="24"/>
          <w:szCs w:val="24"/>
        </w:rPr>
        <w:t>дополнительный комплекс мероприятий,</w:t>
      </w:r>
      <w:r w:rsidR="0027279F">
        <w:rPr>
          <w:rFonts w:ascii="Times New Roman" w:hAnsi="Times New Roman" w:cs="Times New Roman"/>
          <w:sz w:val="24"/>
          <w:szCs w:val="24"/>
        </w:rPr>
        <w:t xml:space="preserve"> связанный с необходимостью исполнения положений ФЗ-522.</w:t>
      </w:r>
      <w:r w:rsidR="0027279F" w:rsidRPr="0027279F">
        <w:rPr>
          <w:rFonts w:ascii="Times New Roman" w:hAnsi="Times New Roman" w:cs="Times New Roman"/>
          <w:sz w:val="24"/>
          <w:szCs w:val="24"/>
        </w:rPr>
        <w:t xml:space="preserve"> </w:t>
      </w:r>
      <w:r w:rsidR="00435AF7" w:rsidRPr="0027279F">
        <w:rPr>
          <w:rFonts w:ascii="Times New Roman" w:hAnsi="Times New Roman" w:cs="Times New Roman"/>
          <w:sz w:val="24"/>
          <w:szCs w:val="24"/>
        </w:rPr>
        <w:t>Период реализации 2021 г.</w:t>
      </w:r>
    </w:p>
    <w:p w:rsidR="0027279F" w:rsidRDefault="000D02EB" w:rsidP="007C162A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27279F">
        <w:rPr>
          <w:rFonts w:ascii="Times New Roman" w:hAnsi="Times New Roman" w:cs="Times New Roman"/>
          <w:sz w:val="24"/>
          <w:szCs w:val="24"/>
        </w:rPr>
        <w:t>рамках реализации проекта «АСКУЭ МКД» планируется произвести замену 6 038 приборов учета на интеллектуальные в течение 2021 года в г. Брянске. Для этих целей потребуется дополнительно 126 586 тыс. руб.</w:t>
      </w:r>
    </w:p>
    <w:p w:rsidR="0027279F" w:rsidRDefault="0027279F" w:rsidP="007C162A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Указанный объем капитальных вложений в соответствии с Методическими указаниями (МУ 1554/17) не включается в расчет Эталонной выручки гарантирующего поставщика. Капитальные вложения относятся к статье «Неподконтрольные расходы» и добавляются к Эталонной выручке ГП.</w:t>
      </w:r>
    </w:p>
    <w:p w:rsidR="0025153D" w:rsidRPr="008B6089" w:rsidRDefault="00971987" w:rsidP="006271FC">
      <w:pPr>
        <w:pStyle w:val="1"/>
        <w:numPr>
          <w:ilvl w:val="0"/>
          <w:numId w:val="9"/>
        </w:numPr>
        <w:tabs>
          <w:tab w:val="left" w:pos="567"/>
        </w:tabs>
        <w:ind w:left="0" w:firstLin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Основания для</w:t>
      </w:r>
      <w:r w:rsidR="00083061" w:rsidRPr="008B6089">
        <w:rPr>
          <w:rFonts w:ascii="Times New Roman" w:hAnsi="Times New Roman" w:cs="Times New Roman"/>
          <w:color w:val="auto"/>
        </w:rPr>
        <w:t xml:space="preserve"> </w:t>
      </w:r>
      <w:r w:rsidR="0055288B">
        <w:rPr>
          <w:rFonts w:ascii="Times New Roman" w:hAnsi="Times New Roman" w:cs="Times New Roman"/>
          <w:color w:val="auto"/>
        </w:rPr>
        <w:t>корректировки</w:t>
      </w:r>
      <w:r w:rsidR="0025153D" w:rsidRPr="008B6089">
        <w:rPr>
          <w:rFonts w:ascii="Times New Roman" w:hAnsi="Times New Roman" w:cs="Times New Roman"/>
          <w:color w:val="auto"/>
        </w:rPr>
        <w:t xml:space="preserve"> </w:t>
      </w:r>
      <w:bookmarkEnd w:id="5"/>
      <w:bookmarkEnd w:id="6"/>
      <w:bookmarkEnd w:id="7"/>
      <w:bookmarkEnd w:id="8"/>
    </w:p>
    <w:p w:rsidR="00083061" w:rsidRDefault="00083061" w:rsidP="00083061"/>
    <w:p w:rsidR="00CB6C38" w:rsidRPr="006A6F77" w:rsidRDefault="00CB6C38" w:rsidP="00CB6C38">
      <w:pPr>
        <w:pStyle w:val="af7"/>
        <w:numPr>
          <w:ilvl w:val="0"/>
          <w:numId w:val="41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6F77">
        <w:rPr>
          <w:rFonts w:ascii="Times New Roman" w:eastAsiaTheme="minorHAnsi" w:hAnsi="Times New Roman" w:cs="Times New Roman"/>
          <w:sz w:val="24"/>
          <w:szCs w:val="24"/>
          <w:lang w:eastAsia="en-US"/>
        </w:rPr>
        <w:t>Исполнение положений действующих законодательных актов России в сфере электроэнергетики о необходимости оснащения жилых помещений интеллектуальными (умными) приборами учета (Федеральный Закон РФ № 522 от 27.12.2018 г.);</w:t>
      </w:r>
    </w:p>
    <w:p w:rsidR="00CB6C38" w:rsidRPr="006A6F77" w:rsidRDefault="00971987" w:rsidP="00CB6C38">
      <w:pPr>
        <w:pStyle w:val="af7"/>
        <w:numPr>
          <w:ilvl w:val="0"/>
          <w:numId w:val="41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Рост количества точек поставки группы потребителей «Население», проживающих в МКД</w:t>
      </w:r>
      <w:r w:rsidR="00CB6C38" w:rsidRPr="006A6F77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971987" w:rsidRPr="00971987" w:rsidRDefault="00971987" w:rsidP="00971987">
      <w:pPr>
        <w:pStyle w:val="af7"/>
        <w:numPr>
          <w:ilvl w:val="0"/>
          <w:numId w:val="41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Рост производительности труда и качества обслуживания потребителей за счет строительства интеллектуальной системы учета электропотребления населением, проживающим в городах. </w:t>
      </w:r>
    </w:p>
    <w:p w:rsidR="00CB6C38" w:rsidRDefault="00971987" w:rsidP="00CB6C38">
      <w:pPr>
        <w:pStyle w:val="af7"/>
        <w:numPr>
          <w:ilvl w:val="0"/>
          <w:numId w:val="41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Снижение объемов неучтенной электроэнергии, связанных с хищениями (несанкционированными подключениями).</w:t>
      </w:r>
      <w:r w:rsidR="00CB6C38" w:rsidRPr="006A6F7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6131F5" w:rsidRPr="00971987" w:rsidRDefault="00971987" w:rsidP="00D278E6">
      <w:pPr>
        <w:pStyle w:val="af7"/>
        <w:numPr>
          <w:ilvl w:val="0"/>
          <w:numId w:val="41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7198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Создание системы по обмену и оперативной передаче данными между гарантирующим поставщиком и сетевыми организациями. </w:t>
      </w:r>
    </w:p>
    <w:p w:rsidR="006131F5" w:rsidRPr="008B6089" w:rsidRDefault="006131F5" w:rsidP="006131F5">
      <w:pPr>
        <w:pStyle w:val="af7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406441211"/>
      <w:bookmarkStart w:id="10" w:name="_Toc406444834"/>
      <w:bookmarkStart w:id="11" w:name="_Toc406445264"/>
      <w:bookmarkStart w:id="12" w:name="_Toc406445451"/>
    </w:p>
    <w:p w:rsidR="00687282" w:rsidRPr="008B6089" w:rsidRDefault="00DC036A" w:rsidP="00083061">
      <w:pPr>
        <w:pStyle w:val="af7"/>
        <w:numPr>
          <w:ilvl w:val="0"/>
          <w:numId w:val="9"/>
        </w:numPr>
        <w:tabs>
          <w:tab w:val="left" w:pos="567"/>
        </w:tabs>
        <w:jc w:val="both"/>
        <w:rPr>
          <w:b/>
          <w:sz w:val="28"/>
          <w:szCs w:val="28"/>
        </w:rPr>
      </w:pPr>
      <w:r w:rsidRPr="008B6089">
        <w:rPr>
          <w:rFonts w:ascii="Times New Roman" w:hAnsi="Times New Roman" w:cs="Times New Roman"/>
          <w:b/>
          <w:sz w:val="28"/>
          <w:szCs w:val="28"/>
        </w:rPr>
        <w:t>Сроки ввода, с</w:t>
      </w:r>
      <w:r w:rsidR="006271FC" w:rsidRPr="008B6089">
        <w:rPr>
          <w:rFonts w:ascii="Times New Roman" w:hAnsi="Times New Roman" w:cs="Times New Roman"/>
          <w:b/>
          <w:sz w:val="28"/>
          <w:szCs w:val="28"/>
        </w:rPr>
        <w:t>тоимость и источни</w:t>
      </w:r>
      <w:r w:rsidR="005A2098" w:rsidRPr="008B6089">
        <w:rPr>
          <w:rFonts w:ascii="Times New Roman" w:hAnsi="Times New Roman" w:cs="Times New Roman"/>
          <w:b/>
          <w:sz w:val="28"/>
          <w:szCs w:val="28"/>
        </w:rPr>
        <w:t>ки финансирован</w:t>
      </w:r>
      <w:r w:rsidR="00083061" w:rsidRPr="008B6089">
        <w:rPr>
          <w:rFonts w:ascii="Times New Roman" w:hAnsi="Times New Roman" w:cs="Times New Roman"/>
          <w:b/>
          <w:sz w:val="28"/>
          <w:szCs w:val="28"/>
        </w:rPr>
        <w:t xml:space="preserve">ия </w:t>
      </w:r>
      <w:r w:rsidR="0055288B">
        <w:rPr>
          <w:rFonts w:ascii="Times New Roman" w:hAnsi="Times New Roman" w:cs="Times New Roman"/>
          <w:b/>
          <w:sz w:val="28"/>
          <w:szCs w:val="28"/>
        </w:rPr>
        <w:t>скорректированного инвестиционного проекта</w:t>
      </w:r>
      <w:r w:rsidR="00083061" w:rsidRPr="008B6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1FC" w:rsidRPr="008B608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93D8F" w:rsidRPr="008B6089">
        <w:rPr>
          <w:rFonts w:ascii="Times New Roman" w:hAnsi="Times New Roman" w:cs="Times New Roman"/>
          <w:b/>
          <w:sz w:val="28"/>
          <w:szCs w:val="28"/>
        </w:rPr>
        <w:t>202</w:t>
      </w:r>
      <w:r w:rsidR="00563379" w:rsidRPr="008B6089">
        <w:rPr>
          <w:rFonts w:ascii="Times New Roman" w:hAnsi="Times New Roman" w:cs="Times New Roman"/>
          <w:b/>
          <w:sz w:val="28"/>
          <w:szCs w:val="28"/>
        </w:rPr>
        <w:t>1</w:t>
      </w:r>
      <w:r w:rsidR="00FE09AB" w:rsidRPr="008B6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1FC" w:rsidRPr="008B6089">
        <w:rPr>
          <w:rFonts w:ascii="Times New Roman" w:hAnsi="Times New Roman" w:cs="Times New Roman"/>
          <w:b/>
          <w:sz w:val="28"/>
          <w:szCs w:val="28"/>
        </w:rPr>
        <w:t>год</w:t>
      </w:r>
      <w:bookmarkEnd w:id="9"/>
      <w:bookmarkEnd w:id="10"/>
      <w:bookmarkEnd w:id="11"/>
      <w:bookmarkEnd w:id="12"/>
      <w:r w:rsidR="00F20457" w:rsidRPr="008B60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3061" w:rsidRDefault="00083061" w:rsidP="00083061">
      <w:r w:rsidRPr="00A00457">
        <w:rPr>
          <w:b/>
        </w:rPr>
        <w:t>ИПР 1</w:t>
      </w:r>
      <w:r w:rsidR="000D02EB">
        <w:rPr>
          <w:b/>
        </w:rPr>
        <w:t xml:space="preserve"> (скорректирован 2021 год</w:t>
      </w:r>
      <w:r w:rsidR="00CB6C38">
        <w:rPr>
          <w:b/>
        </w:rPr>
        <w:t>)</w:t>
      </w:r>
      <w:r w:rsidRPr="00CB6C38">
        <w:rPr>
          <w:b/>
        </w:rPr>
        <w:t>:</w:t>
      </w:r>
      <w:r w:rsidRPr="00A00457">
        <w:rPr>
          <w:b/>
        </w:rPr>
        <w:t xml:space="preserve"> </w:t>
      </w:r>
    </w:p>
    <w:p w:rsidR="00083061" w:rsidRDefault="00083061" w:rsidP="00083061"/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751"/>
        <w:gridCol w:w="2241"/>
        <w:gridCol w:w="1282"/>
        <w:gridCol w:w="1148"/>
        <w:gridCol w:w="1707"/>
        <w:gridCol w:w="3092"/>
      </w:tblGrid>
      <w:tr w:rsidR="000D02EB" w:rsidRPr="000D6E80" w:rsidTr="0055288B">
        <w:trPr>
          <w:trHeight w:val="72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2EB" w:rsidRPr="000D6E80" w:rsidRDefault="000D02EB" w:rsidP="000C06B8">
            <w:pPr>
              <w:jc w:val="center"/>
              <w:rPr>
                <w:b/>
                <w:bCs/>
              </w:rPr>
            </w:pPr>
            <w:r w:rsidRPr="000D6E80">
              <w:rPr>
                <w:b/>
                <w:bCs/>
              </w:rPr>
              <w:t>№ п/п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2EB" w:rsidRPr="000D6E80" w:rsidRDefault="000D02EB" w:rsidP="000C06B8">
            <w:pPr>
              <w:jc w:val="center"/>
              <w:rPr>
                <w:b/>
                <w:bCs/>
              </w:rPr>
            </w:pPr>
            <w:r w:rsidRPr="000D6E80">
              <w:rPr>
                <w:b/>
                <w:bCs/>
              </w:rPr>
              <w:t>Наименование проекта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EB" w:rsidRPr="000D6E80" w:rsidRDefault="000D02EB" w:rsidP="000C06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 ввода, период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EB" w:rsidRPr="000D6E80" w:rsidRDefault="000D02EB" w:rsidP="000C06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точек учета, шт.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EB" w:rsidRDefault="000D02EB" w:rsidP="000C06B8">
            <w:pPr>
              <w:jc w:val="center"/>
              <w:rPr>
                <w:b/>
                <w:bCs/>
              </w:rPr>
            </w:pPr>
            <w:r w:rsidRPr="000D6E80">
              <w:rPr>
                <w:b/>
                <w:bCs/>
              </w:rPr>
              <w:t xml:space="preserve">Стоимость ИП, </w:t>
            </w:r>
            <w:r w:rsidRPr="000D6E80">
              <w:rPr>
                <w:b/>
                <w:bCs/>
              </w:rPr>
              <w:br/>
              <w:t>тыс.</w:t>
            </w:r>
            <w:r>
              <w:rPr>
                <w:b/>
                <w:bCs/>
              </w:rPr>
              <w:t xml:space="preserve"> </w:t>
            </w:r>
            <w:r w:rsidRPr="000D6E80">
              <w:rPr>
                <w:b/>
                <w:bCs/>
              </w:rPr>
              <w:t xml:space="preserve">руб. </w:t>
            </w:r>
            <w:r>
              <w:rPr>
                <w:b/>
                <w:bCs/>
              </w:rPr>
              <w:t xml:space="preserve">   </w:t>
            </w:r>
          </w:p>
          <w:p w:rsidR="000D02EB" w:rsidRPr="000D6E80" w:rsidRDefault="000D02EB" w:rsidP="000C06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0D6E80">
              <w:rPr>
                <w:b/>
                <w:bCs/>
              </w:rPr>
              <w:t>без НДС</w:t>
            </w:r>
            <w:r>
              <w:rPr>
                <w:b/>
                <w:bCs/>
              </w:rPr>
              <w:t>)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2EB" w:rsidRPr="000D6E80" w:rsidRDefault="000D02EB" w:rsidP="000C06B8">
            <w:pPr>
              <w:jc w:val="center"/>
              <w:rPr>
                <w:b/>
                <w:bCs/>
              </w:rPr>
            </w:pPr>
            <w:r w:rsidRPr="000D6E80">
              <w:rPr>
                <w:b/>
                <w:bCs/>
              </w:rPr>
              <w:t>Источник финансирования</w:t>
            </w:r>
          </w:p>
        </w:tc>
      </w:tr>
      <w:tr w:rsidR="000D02EB" w:rsidRPr="000D6E80" w:rsidTr="0055288B">
        <w:trPr>
          <w:trHeight w:val="100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2EB" w:rsidRPr="000D6E80" w:rsidRDefault="0055288B" w:rsidP="00DC036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2EB" w:rsidRPr="000D6E80" w:rsidRDefault="000D02EB" w:rsidP="0055288B">
            <w:pPr>
              <w:rPr>
                <w:bCs/>
              </w:rPr>
            </w:pPr>
            <w:r>
              <w:rPr>
                <w:bCs/>
              </w:rPr>
              <w:t xml:space="preserve">Создание АСКУЭ </w:t>
            </w:r>
            <w:r w:rsidR="0055288B">
              <w:rPr>
                <w:b/>
                <w:bCs/>
              </w:rPr>
              <w:t>БП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02EB" w:rsidRDefault="000D02EB" w:rsidP="003F2B81">
            <w:pPr>
              <w:jc w:val="center"/>
              <w:rPr>
                <w:bCs/>
              </w:rPr>
            </w:pPr>
          </w:p>
          <w:p w:rsidR="0055288B" w:rsidRDefault="0055288B" w:rsidP="003F2B81">
            <w:pPr>
              <w:jc w:val="center"/>
              <w:rPr>
                <w:bCs/>
              </w:rPr>
            </w:pPr>
          </w:p>
          <w:p w:rsidR="000D02EB" w:rsidRDefault="000D02EB" w:rsidP="003F2B81">
            <w:pPr>
              <w:jc w:val="center"/>
              <w:rPr>
                <w:bCs/>
              </w:rPr>
            </w:pPr>
            <w:r>
              <w:rPr>
                <w:bCs/>
              </w:rPr>
              <w:t>2021 год</w:t>
            </w:r>
          </w:p>
          <w:p w:rsidR="000D02EB" w:rsidRDefault="000D02EB" w:rsidP="003F2B81">
            <w:pPr>
              <w:jc w:val="center"/>
              <w:rPr>
                <w:bCs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EB" w:rsidRDefault="000D02EB" w:rsidP="003F2B81">
            <w:pPr>
              <w:jc w:val="center"/>
              <w:rPr>
                <w:bCs/>
              </w:rPr>
            </w:pPr>
          </w:p>
          <w:p w:rsidR="00905A58" w:rsidRDefault="00905A58" w:rsidP="003F2B81">
            <w:pPr>
              <w:jc w:val="center"/>
              <w:rPr>
                <w:bCs/>
              </w:rPr>
            </w:pPr>
          </w:p>
          <w:p w:rsidR="000D02EB" w:rsidRDefault="00905A58" w:rsidP="0055288B">
            <w:pPr>
              <w:rPr>
                <w:bCs/>
              </w:rPr>
            </w:pPr>
            <w:r>
              <w:rPr>
                <w:bCs/>
              </w:rPr>
              <w:t xml:space="preserve">  </w:t>
            </w:r>
            <w:r w:rsidR="0055288B">
              <w:rPr>
                <w:bCs/>
              </w:rPr>
              <w:t>1 116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2EB" w:rsidRDefault="0055288B" w:rsidP="003F2B81">
            <w:pPr>
              <w:jc w:val="center"/>
              <w:rPr>
                <w:bCs/>
              </w:rPr>
            </w:pPr>
            <w:r>
              <w:rPr>
                <w:bCs/>
              </w:rPr>
              <w:t>22 320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2EB" w:rsidRDefault="000D02EB" w:rsidP="00BB7212">
            <w:pPr>
              <w:rPr>
                <w:bCs/>
              </w:rPr>
            </w:pPr>
            <w:r>
              <w:rPr>
                <w:bCs/>
              </w:rPr>
              <w:t>Амортизационные отчис</w:t>
            </w:r>
            <w:r w:rsidR="0055288B">
              <w:rPr>
                <w:bCs/>
              </w:rPr>
              <w:t>-</w:t>
            </w:r>
            <w:r>
              <w:rPr>
                <w:bCs/>
              </w:rPr>
              <w:t>ления –   5 000 тыс. руб.</w:t>
            </w:r>
          </w:p>
          <w:p w:rsidR="000D02EB" w:rsidRPr="000D6E80" w:rsidRDefault="000D02EB" w:rsidP="0055288B">
            <w:pPr>
              <w:rPr>
                <w:bCs/>
              </w:rPr>
            </w:pPr>
            <w:r>
              <w:rPr>
                <w:bCs/>
              </w:rPr>
              <w:t>П</w:t>
            </w:r>
            <w:r w:rsidRPr="000D6E80">
              <w:rPr>
                <w:bCs/>
              </w:rPr>
              <w:t>рибыль на кап</w:t>
            </w:r>
            <w:r w:rsidR="00905A58">
              <w:rPr>
                <w:bCs/>
              </w:rPr>
              <w:t xml:space="preserve">вложения –  </w:t>
            </w:r>
            <w:r w:rsidR="0055288B">
              <w:rPr>
                <w:bCs/>
              </w:rPr>
              <w:t>17 320</w:t>
            </w:r>
            <w:r>
              <w:rPr>
                <w:bCs/>
              </w:rPr>
              <w:t xml:space="preserve"> тыс. руб.</w:t>
            </w:r>
          </w:p>
        </w:tc>
      </w:tr>
      <w:tr w:rsidR="0055288B" w:rsidRPr="000D6E80" w:rsidTr="0055288B">
        <w:trPr>
          <w:trHeight w:val="100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88B" w:rsidRDefault="0055288B" w:rsidP="00DC036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88B" w:rsidRDefault="0055288B" w:rsidP="00DC036A">
            <w:pPr>
              <w:rPr>
                <w:bCs/>
              </w:rPr>
            </w:pPr>
            <w:r>
              <w:rPr>
                <w:bCs/>
              </w:rPr>
              <w:t xml:space="preserve">Создание АСКУЭ </w:t>
            </w:r>
            <w:r w:rsidRPr="0055288B">
              <w:rPr>
                <w:b/>
                <w:bCs/>
              </w:rPr>
              <w:t>МКД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88B" w:rsidRDefault="0055288B" w:rsidP="003F2B81">
            <w:pPr>
              <w:jc w:val="center"/>
              <w:rPr>
                <w:bCs/>
              </w:rPr>
            </w:pPr>
            <w:r>
              <w:rPr>
                <w:bCs/>
              </w:rPr>
              <w:t>2021 год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8B" w:rsidRDefault="0055288B" w:rsidP="003F2B81">
            <w:pPr>
              <w:jc w:val="center"/>
              <w:rPr>
                <w:bCs/>
              </w:rPr>
            </w:pPr>
            <w:r>
              <w:rPr>
                <w:bCs/>
              </w:rPr>
              <w:t>6 038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88B" w:rsidRDefault="0055288B" w:rsidP="003F2B81">
            <w:pPr>
              <w:jc w:val="center"/>
              <w:rPr>
                <w:bCs/>
              </w:rPr>
            </w:pPr>
            <w:r>
              <w:rPr>
                <w:bCs/>
              </w:rPr>
              <w:t>126 586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88B" w:rsidRDefault="0055288B" w:rsidP="00BB7212">
            <w:pPr>
              <w:rPr>
                <w:bCs/>
              </w:rPr>
            </w:pPr>
            <w:r>
              <w:rPr>
                <w:bCs/>
              </w:rPr>
              <w:t>Прибыль на капвложения – 126 586 тыс. руб.</w:t>
            </w:r>
          </w:p>
        </w:tc>
      </w:tr>
      <w:tr w:rsidR="000D02EB" w:rsidRPr="000D6E80" w:rsidTr="0055288B">
        <w:trPr>
          <w:trHeight w:val="343"/>
        </w:trPr>
        <w:tc>
          <w:tcPr>
            <w:tcW w:w="4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2EB" w:rsidRDefault="000D02EB" w:rsidP="00DC036A">
            <w:pPr>
              <w:rPr>
                <w:bCs/>
              </w:rPr>
            </w:pPr>
            <w:r w:rsidRPr="000D6E80">
              <w:rPr>
                <w:b/>
                <w:bCs/>
              </w:rPr>
              <w:t>ИТОГО: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58" w:rsidRDefault="0055288B" w:rsidP="00905A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7 154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2EB" w:rsidRPr="007C1B2D" w:rsidRDefault="0055288B" w:rsidP="003F2B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148 906</w:t>
            </w: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2EB" w:rsidRPr="000D6E80" w:rsidRDefault="000D02EB" w:rsidP="00DC036A">
            <w:pPr>
              <w:jc w:val="right"/>
              <w:rPr>
                <w:bCs/>
              </w:rPr>
            </w:pPr>
          </w:p>
        </w:tc>
      </w:tr>
    </w:tbl>
    <w:p w:rsidR="006131F5" w:rsidRDefault="006131F5" w:rsidP="00083061"/>
    <w:p w:rsidR="00083061" w:rsidRPr="000D6E80" w:rsidRDefault="00083061" w:rsidP="006271FC">
      <w:pPr>
        <w:pStyle w:val="af7"/>
        <w:spacing w:before="120" w:after="0"/>
        <w:ind w:left="0"/>
        <w:jc w:val="right"/>
        <w:rPr>
          <w:rFonts w:ascii="Cambria" w:hAnsi="Cambria"/>
          <w:sz w:val="24"/>
          <w:szCs w:val="24"/>
        </w:rPr>
      </w:pPr>
    </w:p>
    <w:sectPr w:rsidR="00083061" w:rsidRPr="000D6E80" w:rsidSect="009F3D2E">
      <w:headerReference w:type="default" r:id="rId10"/>
      <w:footerReference w:type="default" r:id="rId11"/>
      <w:pgSz w:w="11906" w:h="16838" w:code="9"/>
      <w:pgMar w:top="709" w:right="567" w:bottom="1134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544" w:rsidRDefault="00D67544">
      <w:r>
        <w:separator/>
      </w:r>
    </w:p>
  </w:endnote>
  <w:endnote w:type="continuationSeparator" w:id="0">
    <w:p w:rsidR="00D67544" w:rsidRDefault="00D67544">
      <w:r>
        <w:continuationSeparator/>
      </w:r>
    </w:p>
  </w:endnote>
  <w:endnote w:type="continuationNotice" w:id="1">
    <w:p w:rsidR="00D67544" w:rsidRDefault="00D675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7454799"/>
      <w:docPartObj>
        <w:docPartGallery w:val="Page Numbers (Bottom of Page)"/>
        <w:docPartUnique/>
      </w:docPartObj>
    </w:sdtPr>
    <w:sdtEndPr/>
    <w:sdtContent>
      <w:p w:rsidR="002B3680" w:rsidRDefault="002B368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11B">
          <w:rPr>
            <w:noProof/>
          </w:rPr>
          <w:t>2</w:t>
        </w:r>
        <w:r>
          <w:fldChar w:fldCharType="end"/>
        </w:r>
      </w:p>
      <w:p w:rsidR="002B3680" w:rsidRDefault="00CF7B01">
        <w:pPr>
          <w:pStyle w:val="a5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-72391</wp:posOffset>
                  </wp:positionH>
                  <wp:positionV relativeFrom="paragraph">
                    <wp:posOffset>117475</wp:posOffset>
                  </wp:positionV>
                  <wp:extent cx="6581775" cy="9525"/>
                  <wp:effectExtent l="57150" t="38100" r="47625" b="85725"/>
                  <wp:wrapNone/>
                  <wp:docPr id="2" name="Прямая соединительная линия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6581775" cy="9525"/>
                          </a:xfrm>
                          <a:prstGeom prst="line">
                            <a:avLst/>
                          </a:prstGeom>
                          <a:ln cmpd="thickThin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31730425" id="Прямая соединительная линия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pt,9.25pt" to="512.5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" strokecolor="#365f91 [2404]" strokeweight="3pt">
                  <v:stroke linestyle="thickThin"/>
                  <v:shadow on="t" color="black" opacity="22937f" origin=",.5" offset="0,.63889mm"/>
                </v:line>
              </w:pict>
            </mc:Fallback>
          </mc:AlternateContent>
        </w:r>
      </w:p>
      <w:p w:rsidR="002B3680" w:rsidRDefault="002B3680" w:rsidP="002B3680">
        <w:pPr>
          <w:pStyle w:val="a5"/>
        </w:pPr>
        <w:r>
          <w:rPr>
            <w:rFonts w:asciiTheme="majorHAnsi" w:eastAsiaTheme="majorEastAsia" w:hAnsiTheme="majorHAnsi" w:cstheme="majorBidi"/>
          </w:rPr>
          <w:t>Инвестиционная программа ООО «Газпром энергосбыт Брянск» на 2019-2021 годы</w:t>
        </w:r>
      </w:p>
    </w:sdtContent>
  </w:sdt>
  <w:p w:rsidR="00A41A32" w:rsidRPr="00101E1E" w:rsidRDefault="00A41A32" w:rsidP="002B3680">
    <w:pPr>
      <w:pStyle w:val="a5"/>
      <w:jc w:val="right"/>
      <w:rPr>
        <w:rFonts w:asciiTheme="majorHAnsi" w:eastAsiaTheme="majorEastAsia" w:hAnsiTheme="majorHAnsi" w:cstheme="majorBid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544" w:rsidRDefault="00D67544">
      <w:r>
        <w:separator/>
      </w:r>
    </w:p>
  </w:footnote>
  <w:footnote w:type="continuationSeparator" w:id="0">
    <w:p w:rsidR="00D67544" w:rsidRDefault="00D67544">
      <w:r>
        <w:continuationSeparator/>
      </w:r>
    </w:p>
  </w:footnote>
  <w:footnote w:type="continuationNotice" w:id="1">
    <w:p w:rsidR="00D67544" w:rsidRDefault="00D675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2DB" w:rsidRDefault="001662DB">
    <w:pPr>
      <w:pStyle w:val="ad"/>
    </w:pPr>
    <w:r>
      <w:rPr>
        <w:noProof/>
      </w:rPr>
      <w:drawing>
        <wp:inline distT="0" distB="0" distL="0" distR="0" wp14:anchorId="3E72C565">
          <wp:extent cx="6303645" cy="445135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B5B2E"/>
    <w:multiLevelType w:val="hybridMultilevel"/>
    <w:tmpl w:val="149AADA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070455A7"/>
    <w:multiLevelType w:val="hybridMultilevel"/>
    <w:tmpl w:val="F5D48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A5208"/>
    <w:multiLevelType w:val="hybridMultilevel"/>
    <w:tmpl w:val="A5B83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06683"/>
    <w:multiLevelType w:val="hybridMultilevel"/>
    <w:tmpl w:val="DAC8A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7320D"/>
    <w:multiLevelType w:val="multilevel"/>
    <w:tmpl w:val="5D82986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9992AE7"/>
    <w:multiLevelType w:val="hybridMultilevel"/>
    <w:tmpl w:val="3B0CB3F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463D3"/>
    <w:multiLevelType w:val="hybridMultilevel"/>
    <w:tmpl w:val="A726DF0E"/>
    <w:lvl w:ilvl="0" w:tplc="B374E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06E4B"/>
    <w:multiLevelType w:val="hybridMultilevel"/>
    <w:tmpl w:val="6B5C41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F955D9E"/>
    <w:multiLevelType w:val="hybridMultilevel"/>
    <w:tmpl w:val="88861CF0"/>
    <w:lvl w:ilvl="0" w:tplc="B374EA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7895B1C"/>
    <w:multiLevelType w:val="hybridMultilevel"/>
    <w:tmpl w:val="6B5C41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A681287"/>
    <w:multiLevelType w:val="hybridMultilevel"/>
    <w:tmpl w:val="27A086D6"/>
    <w:lvl w:ilvl="0" w:tplc="5118665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C4596B"/>
    <w:multiLevelType w:val="hybridMultilevel"/>
    <w:tmpl w:val="E83AA0E0"/>
    <w:lvl w:ilvl="0" w:tplc="7D661166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248353F"/>
    <w:multiLevelType w:val="multilevel"/>
    <w:tmpl w:val="CA84D5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3" w15:restartNumberingAfterBreak="0">
    <w:nsid w:val="331B60CD"/>
    <w:multiLevelType w:val="multilevel"/>
    <w:tmpl w:val="E3B058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3BE346B"/>
    <w:multiLevelType w:val="hybridMultilevel"/>
    <w:tmpl w:val="6B5C41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66C7973"/>
    <w:multiLevelType w:val="multilevel"/>
    <w:tmpl w:val="E28E0D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06157F"/>
    <w:multiLevelType w:val="multilevel"/>
    <w:tmpl w:val="A35A37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D355ED5"/>
    <w:multiLevelType w:val="hybridMultilevel"/>
    <w:tmpl w:val="A284436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E2D798B"/>
    <w:multiLevelType w:val="hybridMultilevel"/>
    <w:tmpl w:val="4A064B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0F1633"/>
    <w:multiLevelType w:val="hybridMultilevel"/>
    <w:tmpl w:val="6A76A45E"/>
    <w:lvl w:ilvl="0" w:tplc="98BCF63E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2E50B34"/>
    <w:multiLevelType w:val="hybridMultilevel"/>
    <w:tmpl w:val="E022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A2CA8"/>
    <w:multiLevelType w:val="hybridMultilevel"/>
    <w:tmpl w:val="B694F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66C95"/>
    <w:multiLevelType w:val="multilevel"/>
    <w:tmpl w:val="A52E540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C5E7160"/>
    <w:multiLevelType w:val="multilevel"/>
    <w:tmpl w:val="20585AA8"/>
    <w:lvl w:ilvl="0">
      <w:start w:val="1"/>
      <w:numFmt w:val="decimal"/>
      <w:pStyle w:val="3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4">
      <w:start w:val="1"/>
      <w:numFmt w:val="russianLower"/>
      <w:pStyle w:val="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4" w15:restartNumberingAfterBreak="0">
    <w:nsid w:val="4ED86821"/>
    <w:multiLevelType w:val="hybridMultilevel"/>
    <w:tmpl w:val="B6626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A55A9A"/>
    <w:multiLevelType w:val="hybridMultilevel"/>
    <w:tmpl w:val="7B1ECDE2"/>
    <w:lvl w:ilvl="0" w:tplc="D5188B3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42B49F5"/>
    <w:multiLevelType w:val="multilevel"/>
    <w:tmpl w:val="98765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C0B6496"/>
    <w:multiLevelType w:val="multilevel"/>
    <w:tmpl w:val="A42CBBEA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DD74912"/>
    <w:multiLevelType w:val="hybridMultilevel"/>
    <w:tmpl w:val="0584DE84"/>
    <w:lvl w:ilvl="0" w:tplc="98BCF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DC32C7"/>
    <w:multiLevelType w:val="hybridMultilevel"/>
    <w:tmpl w:val="773E099E"/>
    <w:lvl w:ilvl="0" w:tplc="434C0F4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5B416B"/>
    <w:multiLevelType w:val="hybridMultilevel"/>
    <w:tmpl w:val="DBDE65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A0DEC"/>
    <w:multiLevelType w:val="multilevel"/>
    <w:tmpl w:val="F6A23B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 w15:restartNumberingAfterBreak="0">
    <w:nsid w:val="66190AA4"/>
    <w:multiLevelType w:val="hybridMultilevel"/>
    <w:tmpl w:val="EBFA6320"/>
    <w:lvl w:ilvl="0" w:tplc="8C566A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6591EF6"/>
    <w:multiLevelType w:val="hybridMultilevel"/>
    <w:tmpl w:val="E4A67246"/>
    <w:lvl w:ilvl="0" w:tplc="B374EA7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66D2576"/>
    <w:multiLevelType w:val="hybridMultilevel"/>
    <w:tmpl w:val="D8B89914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D5F2A66"/>
    <w:multiLevelType w:val="hybridMultilevel"/>
    <w:tmpl w:val="76DC56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D87336"/>
    <w:multiLevelType w:val="multilevel"/>
    <w:tmpl w:val="72C42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BA42879"/>
    <w:multiLevelType w:val="hybridMultilevel"/>
    <w:tmpl w:val="BCCEB9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340054"/>
    <w:multiLevelType w:val="hybridMultilevel"/>
    <w:tmpl w:val="A6209A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7119E5"/>
    <w:multiLevelType w:val="hybridMultilevel"/>
    <w:tmpl w:val="9D7E5864"/>
    <w:lvl w:ilvl="0" w:tplc="6E30AD6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7E891A96"/>
    <w:multiLevelType w:val="hybridMultilevel"/>
    <w:tmpl w:val="5E3A2C0C"/>
    <w:lvl w:ilvl="0" w:tplc="98BCF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9"/>
  </w:num>
  <w:num w:numId="3">
    <w:abstractNumId w:val="23"/>
  </w:num>
  <w:num w:numId="4">
    <w:abstractNumId w:val="26"/>
  </w:num>
  <w:num w:numId="5">
    <w:abstractNumId w:val="8"/>
  </w:num>
  <w:num w:numId="6">
    <w:abstractNumId w:val="6"/>
  </w:num>
  <w:num w:numId="7">
    <w:abstractNumId w:val="33"/>
  </w:num>
  <w:num w:numId="8">
    <w:abstractNumId w:val="5"/>
  </w:num>
  <w:num w:numId="9">
    <w:abstractNumId w:val="31"/>
  </w:num>
  <w:num w:numId="10">
    <w:abstractNumId w:val="4"/>
  </w:num>
  <w:num w:numId="11">
    <w:abstractNumId w:val="28"/>
  </w:num>
  <w:num w:numId="12">
    <w:abstractNumId w:val="40"/>
  </w:num>
  <w:num w:numId="13">
    <w:abstractNumId w:val="35"/>
  </w:num>
  <w:num w:numId="14">
    <w:abstractNumId w:val="11"/>
  </w:num>
  <w:num w:numId="15">
    <w:abstractNumId w:val="14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38"/>
  </w:num>
  <w:num w:numId="19">
    <w:abstractNumId w:val="18"/>
  </w:num>
  <w:num w:numId="20">
    <w:abstractNumId w:val="2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16"/>
  </w:num>
  <w:num w:numId="25">
    <w:abstractNumId w:val="0"/>
  </w:num>
  <w:num w:numId="26">
    <w:abstractNumId w:val="7"/>
  </w:num>
  <w:num w:numId="27">
    <w:abstractNumId w:val="12"/>
  </w:num>
  <w:num w:numId="28">
    <w:abstractNumId w:val="9"/>
  </w:num>
  <w:num w:numId="29">
    <w:abstractNumId w:val="15"/>
  </w:num>
  <w:num w:numId="30">
    <w:abstractNumId w:val="17"/>
  </w:num>
  <w:num w:numId="31">
    <w:abstractNumId w:val="22"/>
  </w:num>
  <w:num w:numId="32">
    <w:abstractNumId w:val="13"/>
  </w:num>
  <w:num w:numId="33">
    <w:abstractNumId w:val="1"/>
  </w:num>
  <w:num w:numId="34">
    <w:abstractNumId w:val="29"/>
  </w:num>
  <w:num w:numId="35">
    <w:abstractNumId w:val="24"/>
  </w:num>
  <w:num w:numId="36">
    <w:abstractNumId w:val="34"/>
  </w:num>
  <w:num w:numId="37">
    <w:abstractNumId w:val="32"/>
  </w:num>
  <w:num w:numId="38">
    <w:abstractNumId w:val="10"/>
  </w:num>
  <w:num w:numId="39">
    <w:abstractNumId w:val="2"/>
  </w:num>
  <w:num w:numId="40">
    <w:abstractNumId w:val="3"/>
  </w:num>
  <w:num w:numId="41">
    <w:abstractNumId w:val="30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348"/>
    <w:rsid w:val="00021C6E"/>
    <w:rsid w:val="00024AA4"/>
    <w:rsid w:val="00034F92"/>
    <w:rsid w:val="0004043D"/>
    <w:rsid w:val="000453E2"/>
    <w:rsid w:val="00047CF2"/>
    <w:rsid w:val="00050529"/>
    <w:rsid w:val="00050C18"/>
    <w:rsid w:val="000622AD"/>
    <w:rsid w:val="00067C0D"/>
    <w:rsid w:val="000713BE"/>
    <w:rsid w:val="000720E7"/>
    <w:rsid w:val="00072128"/>
    <w:rsid w:val="00082D2A"/>
    <w:rsid w:val="00083061"/>
    <w:rsid w:val="00086CDB"/>
    <w:rsid w:val="000922DF"/>
    <w:rsid w:val="000957D9"/>
    <w:rsid w:val="00096293"/>
    <w:rsid w:val="00097B4A"/>
    <w:rsid w:val="000A121E"/>
    <w:rsid w:val="000A1285"/>
    <w:rsid w:val="000A6295"/>
    <w:rsid w:val="000B4BEC"/>
    <w:rsid w:val="000B5617"/>
    <w:rsid w:val="000B59EF"/>
    <w:rsid w:val="000C06B8"/>
    <w:rsid w:val="000C2D6A"/>
    <w:rsid w:val="000C41AE"/>
    <w:rsid w:val="000C58A3"/>
    <w:rsid w:val="000D02EB"/>
    <w:rsid w:val="000D6E80"/>
    <w:rsid w:val="000D72F5"/>
    <w:rsid w:val="000E63E1"/>
    <w:rsid w:val="000F177C"/>
    <w:rsid w:val="000F4411"/>
    <w:rsid w:val="000F6333"/>
    <w:rsid w:val="001011B9"/>
    <w:rsid w:val="00101485"/>
    <w:rsid w:val="0010193C"/>
    <w:rsid w:val="00101E1E"/>
    <w:rsid w:val="0010626F"/>
    <w:rsid w:val="00115E19"/>
    <w:rsid w:val="00124A8A"/>
    <w:rsid w:val="001302B2"/>
    <w:rsid w:val="00132200"/>
    <w:rsid w:val="00137D9F"/>
    <w:rsid w:val="00141CAC"/>
    <w:rsid w:val="0014710D"/>
    <w:rsid w:val="00150222"/>
    <w:rsid w:val="00150F6E"/>
    <w:rsid w:val="00154293"/>
    <w:rsid w:val="001644D3"/>
    <w:rsid w:val="001662DB"/>
    <w:rsid w:val="00166E99"/>
    <w:rsid w:val="00174502"/>
    <w:rsid w:val="001823D0"/>
    <w:rsid w:val="00183115"/>
    <w:rsid w:val="00183B1D"/>
    <w:rsid w:val="001A36C9"/>
    <w:rsid w:val="001A4886"/>
    <w:rsid w:val="001A66CD"/>
    <w:rsid w:val="001A7701"/>
    <w:rsid w:val="001B0056"/>
    <w:rsid w:val="001C2C97"/>
    <w:rsid w:val="001D1E20"/>
    <w:rsid w:val="001E01D5"/>
    <w:rsid w:val="001E6DB5"/>
    <w:rsid w:val="00205AF6"/>
    <w:rsid w:val="00206035"/>
    <w:rsid w:val="00207840"/>
    <w:rsid w:val="00210EE2"/>
    <w:rsid w:val="002121F9"/>
    <w:rsid w:val="0021444C"/>
    <w:rsid w:val="002168CD"/>
    <w:rsid w:val="00220C71"/>
    <w:rsid w:val="0022524E"/>
    <w:rsid w:val="00232F27"/>
    <w:rsid w:val="00233A93"/>
    <w:rsid w:val="00234648"/>
    <w:rsid w:val="00235C1A"/>
    <w:rsid w:val="002362A6"/>
    <w:rsid w:val="00247370"/>
    <w:rsid w:val="0025153D"/>
    <w:rsid w:val="002526BC"/>
    <w:rsid w:val="002604EF"/>
    <w:rsid w:val="0027279F"/>
    <w:rsid w:val="00274C7C"/>
    <w:rsid w:val="002753AE"/>
    <w:rsid w:val="00277186"/>
    <w:rsid w:val="0029525B"/>
    <w:rsid w:val="0029799D"/>
    <w:rsid w:val="002A0324"/>
    <w:rsid w:val="002A320E"/>
    <w:rsid w:val="002B1F3F"/>
    <w:rsid w:val="002B3680"/>
    <w:rsid w:val="002B3F75"/>
    <w:rsid w:val="002B5964"/>
    <w:rsid w:val="002C7719"/>
    <w:rsid w:val="002D339C"/>
    <w:rsid w:val="002D391F"/>
    <w:rsid w:val="002E4241"/>
    <w:rsid w:val="002E56F6"/>
    <w:rsid w:val="002F1556"/>
    <w:rsid w:val="002F36C6"/>
    <w:rsid w:val="002F4BFD"/>
    <w:rsid w:val="002F6A02"/>
    <w:rsid w:val="00302BE0"/>
    <w:rsid w:val="00312D90"/>
    <w:rsid w:val="003149D5"/>
    <w:rsid w:val="00321B21"/>
    <w:rsid w:val="00325A18"/>
    <w:rsid w:val="003266C8"/>
    <w:rsid w:val="00332125"/>
    <w:rsid w:val="00333A1B"/>
    <w:rsid w:val="00335F64"/>
    <w:rsid w:val="00337091"/>
    <w:rsid w:val="0034280D"/>
    <w:rsid w:val="003435FC"/>
    <w:rsid w:val="00344AB9"/>
    <w:rsid w:val="0034711B"/>
    <w:rsid w:val="00347DF7"/>
    <w:rsid w:val="003556E7"/>
    <w:rsid w:val="00357C57"/>
    <w:rsid w:val="003602FB"/>
    <w:rsid w:val="00361348"/>
    <w:rsid w:val="00363957"/>
    <w:rsid w:val="00370CA0"/>
    <w:rsid w:val="003801F8"/>
    <w:rsid w:val="00380399"/>
    <w:rsid w:val="00380EE9"/>
    <w:rsid w:val="00382A41"/>
    <w:rsid w:val="003866E4"/>
    <w:rsid w:val="00391174"/>
    <w:rsid w:val="003B1338"/>
    <w:rsid w:val="003C239B"/>
    <w:rsid w:val="003C55C9"/>
    <w:rsid w:val="003D2984"/>
    <w:rsid w:val="003E09BA"/>
    <w:rsid w:val="003E3EE2"/>
    <w:rsid w:val="003F00C6"/>
    <w:rsid w:val="003F2B81"/>
    <w:rsid w:val="003F61EB"/>
    <w:rsid w:val="003F7948"/>
    <w:rsid w:val="003F7D1A"/>
    <w:rsid w:val="004163FD"/>
    <w:rsid w:val="004205AC"/>
    <w:rsid w:val="00420E24"/>
    <w:rsid w:val="00427F2A"/>
    <w:rsid w:val="004311C1"/>
    <w:rsid w:val="0043206D"/>
    <w:rsid w:val="00433215"/>
    <w:rsid w:val="00435AF7"/>
    <w:rsid w:val="00442A88"/>
    <w:rsid w:val="004506FF"/>
    <w:rsid w:val="00450DC9"/>
    <w:rsid w:val="004514BA"/>
    <w:rsid w:val="004530B2"/>
    <w:rsid w:val="004741E6"/>
    <w:rsid w:val="0047440A"/>
    <w:rsid w:val="004902C8"/>
    <w:rsid w:val="00492F54"/>
    <w:rsid w:val="004A0B8C"/>
    <w:rsid w:val="004A3230"/>
    <w:rsid w:val="004A5A61"/>
    <w:rsid w:val="004A69D2"/>
    <w:rsid w:val="004B5B94"/>
    <w:rsid w:val="004C07C1"/>
    <w:rsid w:val="004C6687"/>
    <w:rsid w:val="004C7636"/>
    <w:rsid w:val="004D22F1"/>
    <w:rsid w:val="004D5E0A"/>
    <w:rsid w:val="004D68F2"/>
    <w:rsid w:val="004E3F84"/>
    <w:rsid w:val="004E4650"/>
    <w:rsid w:val="004E78DB"/>
    <w:rsid w:val="004F039F"/>
    <w:rsid w:val="004F3BB4"/>
    <w:rsid w:val="004F608F"/>
    <w:rsid w:val="00501718"/>
    <w:rsid w:val="0050340A"/>
    <w:rsid w:val="0050659F"/>
    <w:rsid w:val="00524B11"/>
    <w:rsid w:val="00525279"/>
    <w:rsid w:val="00527236"/>
    <w:rsid w:val="005333A3"/>
    <w:rsid w:val="00535116"/>
    <w:rsid w:val="00537EF1"/>
    <w:rsid w:val="005452DB"/>
    <w:rsid w:val="005504FC"/>
    <w:rsid w:val="0055288B"/>
    <w:rsid w:val="0055632F"/>
    <w:rsid w:val="00563379"/>
    <w:rsid w:val="0056594D"/>
    <w:rsid w:val="00570D84"/>
    <w:rsid w:val="00577771"/>
    <w:rsid w:val="00583735"/>
    <w:rsid w:val="00585962"/>
    <w:rsid w:val="005A2098"/>
    <w:rsid w:val="005B6411"/>
    <w:rsid w:val="005B78F2"/>
    <w:rsid w:val="005C44C0"/>
    <w:rsid w:val="005C4C53"/>
    <w:rsid w:val="005D6148"/>
    <w:rsid w:val="00601701"/>
    <w:rsid w:val="00601D1D"/>
    <w:rsid w:val="00611471"/>
    <w:rsid w:val="006131F5"/>
    <w:rsid w:val="0061720A"/>
    <w:rsid w:val="00621F77"/>
    <w:rsid w:val="006221D1"/>
    <w:rsid w:val="006271FC"/>
    <w:rsid w:val="006275D9"/>
    <w:rsid w:val="00631483"/>
    <w:rsid w:val="0063397A"/>
    <w:rsid w:val="006342EA"/>
    <w:rsid w:val="006512D1"/>
    <w:rsid w:val="006543F8"/>
    <w:rsid w:val="00655DF6"/>
    <w:rsid w:val="00662553"/>
    <w:rsid w:val="00662DCD"/>
    <w:rsid w:val="006645C5"/>
    <w:rsid w:val="0066527F"/>
    <w:rsid w:val="00673DC7"/>
    <w:rsid w:val="00674043"/>
    <w:rsid w:val="0067449A"/>
    <w:rsid w:val="00675236"/>
    <w:rsid w:val="00681596"/>
    <w:rsid w:val="006862C8"/>
    <w:rsid w:val="00687282"/>
    <w:rsid w:val="00690ABA"/>
    <w:rsid w:val="00696642"/>
    <w:rsid w:val="006A0E77"/>
    <w:rsid w:val="006A6F77"/>
    <w:rsid w:val="006A7003"/>
    <w:rsid w:val="006B3CAF"/>
    <w:rsid w:val="006B7491"/>
    <w:rsid w:val="006C3E71"/>
    <w:rsid w:val="006D0160"/>
    <w:rsid w:val="006D16B9"/>
    <w:rsid w:val="006D221B"/>
    <w:rsid w:val="006D3F8A"/>
    <w:rsid w:val="006D7723"/>
    <w:rsid w:val="006E32A8"/>
    <w:rsid w:val="006E4762"/>
    <w:rsid w:val="006E58B8"/>
    <w:rsid w:val="006F3B31"/>
    <w:rsid w:val="00707E57"/>
    <w:rsid w:val="00713BC8"/>
    <w:rsid w:val="007225D2"/>
    <w:rsid w:val="007360F9"/>
    <w:rsid w:val="00744D68"/>
    <w:rsid w:val="0074646F"/>
    <w:rsid w:val="00746CF4"/>
    <w:rsid w:val="00747F68"/>
    <w:rsid w:val="00755D56"/>
    <w:rsid w:val="007579EA"/>
    <w:rsid w:val="00767A89"/>
    <w:rsid w:val="007724FD"/>
    <w:rsid w:val="00777ECC"/>
    <w:rsid w:val="00785A20"/>
    <w:rsid w:val="00786097"/>
    <w:rsid w:val="00790139"/>
    <w:rsid w:val="00791F7E"/>
    <w:rsid w:val="007934C9"/>
    <w:rsid w:val="0079399E"/>
    <w:rsid w:val="007A1529"/>
    <w:rsid w:val="007A16A3"/>
    <w:rsid w:val="007A18D1"/>
    <w:rsid w:val="007B313D"/>
    <w:rsid w:val="007B3827"/>
    <w:rsid w:val="007C162A"/>
    <w:rsid w:val="007C1B2D"/>
    <w:rsid w:val="007C43CE"/>
    <w:rsid w:val="007C7316"/>
    <w:rsid w:val="007E6B92"/>
    <w:rsid w:val="007E7B09"/>
    <w:rsid w:val="00800700"/>
    <w:rsid w:val="0080268F"/>
    <w:rsid w:val="00816234"/>
    <w:rsid w:val="00817FB3"/>
    <w:rsid w:val="008354FC"/>
    <w:rsid w:val="0083699D"/>
    <w:rsid w:val="0085343A"/>
    <w:rsid w:val="008656BA"/>
    <w:rsid w:val="00865945"/>
    <w:rsid w:val="00883AF5"/>
    <w:rsid w:val="0088475E"/>
    <w:rsid w:val="008A0573"/>
    <w:rsid w:val="008A3543"/>
    <w:rsid w:val="008A37DA"/>
    <w:rsid w:val="008A47C9"/>
    <w:rsid w:val="008A568A"/>
    <w:rsid w:val="008B5639"/>
    <w:rsid w:val="008B6089"/>
    <w:rsid w:val="008C721D"/>
    <w:rsid w:val="008E103D"/>
    <w:rsid w:val="008E28BD"/>
    <w:rsid w:val="008E3130"/>
    <w:rsid w:val="008F2097"/>
    <w:rsid w:val="008F3243"/>
    <w:rsid w:val="009032C0"/>
    <w:rsid w:val="00905A58"/>
    <w:rsid w:val="00912D85"/>
    <w:rsid w:val="00915BC9"/>
    <w:rsid w:val="0092266B"/>
    <w:rsid w:val="009439E2"/>
    <w:rsid w:val="00945752"/>
    <w:rsid w:val="00947319"/>
    <w:rsid w:val="00947D6A"/>
    <w:rsid w:val="009503C6"/>
    <w:rsid w:val="00952D02"/>
    <w:rsid w:val="00954E7C"/>
    <w:rsid w:val="0096140F"/>
    <w:rsid w:val="00964597"/>
    <w:rsid w:val="009659C8"/>
    <w:rsid w:val="00971955"/>
    <w:rsid w:val="00971987"/>
    <w:rsid w:val="00994F67"/>
    <w:rsid w:val="00995454"/>
    <w:rsid w:val="0099569F"/>
    <w:rsid w:val="009973F2"/>
    <w:rsid w:val="009A0AB1"/>
    <w:rsid w:val="009B34B8"/>
    <w:rsid w:val="009C0DDA"/>
    <w:rsid w:val="009C4214"/>
    <w:rsid w:val="009D29DD"/>
    <w:rsid w:val="009D4ADA"/>
    <w:rsid w:val="009E096F"/>
    <w:rsid w:val="009E20D5"/>
    <w:rsid w:val="009E229F"/>
    <w:rsid w:val="009E73DA"/>
    <w:rsid w:val="009E7EFE"/>
    <w:rsid w:val="009F0A93"/>
    <w:rsid w:val="009F3D2E"/>
    <w:rsid w:val="009F448D"/>
    <w:rsid w:val="009F522C"/>
    <w:rsid w:val="009F68A3"/>
    <w:rsid w:val="00A0301C"/>
    <w:rsid w:val="00A07067"/>
    <w:rsid w:val="00A10DEB"/>
    <w:rsid w:val="00A134BB"/>
    <w:rsid w:val="00A17C6F"/>
    <w:rsid w:val="00A2655F"/>
    <w:rsid w:val="00A4036D"/>
    <w:rsid w:val="00A40CC8"/>
    <w:rsid w:val="00A41A32"/>
    <w:rsid w:val="00A44FBA"/>
    <w:rsid w:val="00A61D27"/>
    <w:rsid w:val="00A664C8"/>
    <w:rsid w:val="00A754A2"/>
    <w:rsid w:val="00A84A04"/>
    <w:rsid w:val="00AB5837"/>
    <w:rsid w:val="00AD7ABB"/>
    <w:rsid w:val="00AF4840"/>
    <w:rsid w:val="00B009E5"/>
    <w:rsid w:val="00B06314"/>
    <w:rsid w:val="00B15898"/>
    <w:rsid w:val="00B21563"/>
    <w:rsid w:val="00B23523"/>
    <w:rsid w:val="00B32A1E"/>
    <w:rsid w:val="00B33151"/>
    <w:rsid w:val="00B35419"/>
    <w:rsid w:val="00B41E01"/>
    <w:rsid w:val="00B46195"/>
    <w:rsid w:val="00B4634F"/>
    <w:rsid w:val="00B53696"/>
    <w:rsid w:val="00B5470D"/>
    <w:rsid w:val="00B570C4"/>
    <w:rsid w:val="00B72EDC"/>
    <w:rsid w:val="00B74D5C"/>
    <w:rsid w:val="00B84B56"/>
    <w:rsid w:val="00B874FB"/>
    <w:rsid w:val="00B90AA5"/>
    <w:rsid w:val="00BA30B4"/>
    <w:rsid w:val="00BA5F60"/>
    <w:rsid w:val="00BB7212"/>
    <w:rsid w:val="00BC6CDD"/>
    <w:rsid w:val="00BC7372"/>
    <w:rsid w:val="00BF31CE"/>
    <w:rsid w:val="00BF57FE"/>
    <w:rsid w:val="00BF6539"/>
    <w:rsid w:val="00BF689D"/>
    <w:rsid w:val="00BF6D9F"/>
    <w:rsid w:val="00C00924"/>
    <w:rsid w:val="00C0442B"/>
    <w:rsid w:val="00C06088"/>
    <w:rsid w:val="00C132B2"/>
    <w:rsid w:val="00C13770"/>
    <w:rsid w:val="00C15E4E"/>
    <w:rsid w:val="00C16DC5"/>
    <w:rsid w:val="00C211AE"/>
    <w:rsid w:val="00C22F6C"/>
    <w:rsid w:val="00C326F3"/>
    <w:rsid w:val="00C32A44"/>
    <w:rsid w:val="00C33209"/>
    <w:rsid w:val="00C44EBD"/>
    <w:rsid w:val="00C51603"/>
    <w:rsid w:val="00C5720E"/>
    <w:rsid w:val="00C6524A"/>
    <w:rsid w:val="00C70224"/>
    <w:rsid w:val="00C731AC"/>
    <w:rsid w:val="00C75571"/>
    <w:rsid w:val="00C80E1A"/>
    <w:rsid w:val="00C90621"/>
    <w:rsid w:val="00C93D8F"/>
    <w:rsid w:val="00CA53CF"/>
    <w:rsid w:val="00CB1F3E"/>
    <w:rsid w:val="00CB247D"/>
    <w:rsid w:val="00CB2EB9"/>
    <w:rsid w:val="00CB65A3"/>
    <w:rsid w:val="00CB6C38"/>
    <w:rsid w:val="00CC2577"/>
    <w:rsid w:val="00CD02C3"/>
    <w:rsid w:val="00CD4177"/>
    <w:rsid w:val="00CD75FD"/>
    <w:rsid w:val="00CE4CD1"/>
    <w:rsid w:val="00CE7A28"/>
    <w:rsid w:val="00CE7D72"/>
    <w:rsid w:val="00CF2CE4"/>
    <w:rsid w:val="00CF49C6"/>
    <w:rsid w:val="00CF4BE0"/>
    <w:rsid w:val="00CF51E5"/>
    <w:rsid w:val="00CF7B01"/>
    <w:rsid w:val="00D04C70"/>
    <w:rsid w:val="00D13443"/>
    <w:rsid w:val="00D15CB2"/>
    <w:rsid w:val="00D24FE1"/>
    <w:rsid w:val="00D355E4"/>
    <w:rsid w:val="00D3773B"/>
    <w:rsid w:val="00D407DD"/>
    <w:rsid w:val="00D42EF9"/>
    <w:rsid w:val="00D465A8"/>
    <w:rsid w:val="00D629E0"/>
    <w:rsid w:val="00D6378E"/>
    <w:rsid w:val="00D65B4D"/>
    <w:rsid w:val="00D67544"/>
    <w:rsid w:val="00D70FB3"/>
    <w:rsid w:val="00D73BA9"/>
    <w:rsid w:val="00D74DB7"/>
    <w:rsid w:val="00D75994"/>
    <w:rsid w:val="00D90E60"/>
    <w:rsid w:val="00D94B4B"/>
    <w:rsid w:val="00D952F9"/>
    <w:rsid w:val="00DA783C"/>
    <w:rsid w:val="00DA7CD5"/>
    <w:rsid w:val="00DB5E1B"/>
    <w:rsid w:val="00DC036A"/>
    <w:rsid w:val="00DC173B"/>
    <w:rsid w:val="00DC5DC9"/>
    <w:rsid w:val="00DC6B0A"/>
    <w:rsid w:val="00DE064C"/>
    <w:rsid w:val="00DE149B"/>
    <w:rsid w:val="00DE1F3A"/>
    <w:rsid w:val="00DE50C1"/>
    <w:rsid w:val="00DE5941"/>
    <w:rsid w:val="00DE690D"/>
    <w:rsid w:val="00DF2530"/>
    <w:rsid w:val="00E005EA"/>
    <w:rsid w:val="00E01F07"/>
    <w:rsid w:val="00E04741"/>
    <w:rsid w:val="00E0560E"/>
    <w:rsid w:val="00E20DA3"/>
    <w:rsid w:val="00E229E0"/>
    <w:rsid w:val="00E23758"/>
    <w:rsid w:val="00E41092"/>
    <w:rsid w:val="00E440D3"/>
    <w:rsid w:val="00E52AB4"/>
    <w:rsid w:val="00E53DAE"/>
    <w:rsid w:val="00E54EF6"/>
    <w:rsid w:val="00E5551E"/>
    <w:rsid w:val="00E573A4"/>
    <w:rsid w:val="00E602D4"/>
    <w:rsid w:val="00E7249A"/>
    <w:rsid w:val="00E73C89"/>
    <w:rsid w:val="00E760BC"/>
    <w:rsid w:val="00E81BBC"/>
    <w:rsid w:val="00E84A4D"/>
    <w:rsid w:val="00E90749"/>
    <w:rsid w:val="00E917C6"/>
    <w:rsid w:val="00E934D2"/>
    <w:rsid w:val="00EA35FC"/>
    <w:rsid w:val="00EA4BD4"/>
    <w:rsid w:val="00EB50A3"/>
    <w:rsid w:val="00EC0CC0"/>
    <w:rsid w:val="00EC456A"/>
    <w:rsid w:val="00ED03D9"/>
    <w:rsid w:val="00ED22E4"/>
    <w:rsid w:val="00ED4F02"/>
    <w:rsid w:val="00ED65E5"/>
    <w:rsid w:val="00ED7EB3"/>
    <w:rsid w:val="00EE12FE"/>
    <w:rsid w:val="00EE1F7D"/>
    <w:rsid w:val="00EE2365"/>
    <w:rsid w:val="00EE2591"/>
    <w:rsid w:val="00EE6D37"/>
    <w:rsid w:val="00F108D9"/>
    <w:rsid w:val="00F16D56"/>
    <w:rsid w:val="00F20457"/>
    <w:rsid w:val="00F205F6"/>
    <w:rsid w:val="00F2618F"/>
    <w:rsid w:val="00F27A48"/>
    <w:rsid w:val="00F31AF3"/>
    <w:rsid w:val="00F3472F"/>
    <w:rsid w:val="00F40CB1"/>
    <w:rsid w:val="00F44B8A"/>
    <w:rsid w:val="00F47E56"/>
    <w:rsid w:val="00F60561"/>
    <w:rsid w:val="00F64F2B"/>
    <w:rsid w:val="00F72C23"/>
    <w:rsid w:val="00F77B4A"/>
    <w:rsid w:val="00F93818"/>
    <w:rsid w:val="00FA02C3"/>
    <w:rsid w:val="00FA1E19"/>
    <w:rsid w:val="00FA70E4"/>
    <w:rsid w:val="00FB4D27"/>
    <w:rsid w:val="00FC4971"/>
    <w:rsid w:val="00FC4FF4"/>
    <w:rsid w:val="00FC5D29"/>
    <w:rsid w:val="00FC6E3C"/>
    <w:rsid w:val="00FC7D94"/>
    <w:rsid w:val="00FD7BDF"/>
    <w:rsid w:val="00FE09AB"/>
    <w:rsid w:val="00FF3F66"/>
    <w:rsid w:val="00FF4B74"/>
    <w:rsid w:val="00FF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23240D-1440-4D20-A7F0-0E765525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9E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A02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0">
    <w:name w:val="heading 4"/>
    <w:basedOn w:val="a"/>
    <w:next w:val="a"/>
    <w:link w:val="41"/>
    <w:uiPriority w:val="9"/>
    <w:unhideWhenUsed/>
    <w:qFormat/>
    <w:rsid w:val="00D629E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2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1">
    <w:name w:val="Заголовок 4 Знак"/>
    <w:basedOn w:val="a0"/>
    <w:link w:val="40"/>
    <w:uiPriority w:val="9"/>
    <w:rsid w:val="00D629E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3">
    <w:name w:val="Body Text"/>
    <w:basedOn w:val="a"/>
    <w:rsid w:val="00B23523"/>
    <w:pPr>
      <w:spacing w:after="120"/>
    </w:pPr>
  </w:style>
  <w:style w:type="character" w:styleId="a4">
    <w:name w:val="Emphasis"/>
    <w:basedOn w:val="a0"/>
    <w:uiPriority w:val="20"/>
    <w:qFormat/>
    <w:rsid w:val="00B23523"/>
    <w:rPr>
      <w:i/>
      <w:iCs/>
    </w:rPr>
  </w:style>
  <w:style w:type="paragraph" w:styleId="a5">
    <w:name w:val="footer"/>
    <w:basedOn w:val="a"/>
    <w:link w:val="a6"/>
    <w:uiPriority w:val="99"/>
    <w:rsid w:val="00B2352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B1338"/>
  </w:style>
  <w:style w:type="paragraph" w:styleId="a7">
    <w:name w:val="Normal (Web)"/>
    <w:basedOn w:val="a"/>
    <w:uiPriority w:val="99"/>
    <w:rsid w:val="00B23523"/>
    <w:pPr>
      <w:spacing w:line="300" w:lineRule="atLeast"/>
      <w:ind w:firstLine="400"/>
      <w:jc w:val="both"/>
    </w:pPr>
    <w:rPr>
      <w:rFonts w:ascii="Tahoma" w:hAnsi="Tahoma" w:cs="Tahoma"/>
      <w:color w:val="515151"/>
      <w:sz w:val="16"/>
      <w:szCs w:val="16"/>
    </w:rPr>
  </w:style>
  <w:style w:type="table" w:styleId="a8">
    <w:name w:val="Table Grid"/>
    <w:basedOn w:val="a1"/>
    <w:rsid w:val="00474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4741E6"/>
    <w:pPr>
      <w:spacing w:after="120"/>
      <w:ind w:left="283"/>
    </w:pPr>
  </w:style>
  <w:style w:type="character" w:styleId="aa">
    <w:name w:val="page number"/>
    <w:basedOn w:val="a0"/>
    <w:rsid w:val="00427F2A"/>
  </w:style>
  <w:style w:type="paragraph" w:customStyle="1" w:styleId="ConsPlusNonformat">
    <w:name w:val="ConsPlusNonformat"/>
    <w:rsid w:val="003F7D1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customStyle="1" w:styleId="2">
    <w:name w:val="Пункт_2"/>
    <w:basedOn w:val="a"/>
    <w:rsid w:val="00D24FE1"/>
    <w:pPr>
      <w:numPr>
        <w:ilvl w:val="1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3">
    <w:name w:val="Пункт_3"/>
    <w:basedOn w:val="2"/>
    <w:rsid w:val="00D24FE1"/>
    <w:pPr>
      <w:numPr>
        <w:ilvl w:val="2"/>
      </w:numPr>
    </w:pPr>
  </w:style>
  <w:style w:type="paragraph" w:customStyle="1" w:styleId="4">
    <w:name w:val="Пункт_4"/>
    <w:basedOn w:val="3"/>
    <w:rsid w:val="00D24FE1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"/>
    <w:rsid w:val="00D24FE1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customStyle="1" w:styleId="11">
    <w:name w:val="Пункт_1"/>
    <w:basedOn w:val="a"/>
    <w:rsid w:val="00D24FE1"/>
    <w:pPr>
      <w:keepNext/>
      <w:tabs>
        <w:tab w:val="num" w:pos="568"/>
      </w:tabs>
      <w:spacing w:before="480" w:after="240"/>
      <w:ind w:left="568" w:hanging="568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styleId="ab">
    <w:name w:val="Hyperlink"/>
    <w:uiPriority w:val="99"/>
    <w:unhideWhenUsed/>
    <w:rsid w:val="00FF3F66"/>
    <w:rPr>
      <w:color w:val="0000FF"/>
      <w:u w:val="single"/>
    </w:rPr>
  </w:style>
  <w:style w:type="character" w:styleId="ac">
    <w:name w:val="FollowedHyperlink"/>
    <w:uiPriority w:val="99"/>
    <w:unhideWhenUsed/>
    <w:rsid w:val="00FF3F66"/>
    <w:rPr>
      <w:color w:val="800080"/>
      <w:u w:val="single"/>
    </w:rPr>
  </w:style>
  <w:style w:type="paragraph" w:styleId="ad">
    <w:name w:val="header"/>
    <w:basedOn w:val="a"/>
    <w:link w:val="ae"/>
    <w:uiPriority w:val="99"/>
    <w:rsid w:val="00817F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17FB3"/>
    <w:rPr>
      <w:sz w:val="24"/>
      <w:szCs w:val="24"/>
    </w:rPr>
  </w:style>
  <w:style w:type="paragraph" w:styleId="af">
    <w:name w:val="Balloon Text"/>
    <w:basedOn w:val="a"/>
    <w:link w:val="af0"/>
    <w:rsid w:val="00450DC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50DC9"/>
    <w:rPr>
      <w:rFonts w:ascii="Tahoma" w:hAnsi="Tahoma" w:cs="Tahoma"/>
      <w:sz w:val="16"/>
      <w:szCs w:val="16"/>
    </w:rPr>
  </w:style>
  <w:style w:type="paragraph" w:styleId="af1">
    <w:name w:val="No Spacing"/>
    <w:link w:val="af2"/>
    <w:uiPriority w:val="1"/>
    <w:qFormat/>
    <w:rsid w:val="00FA02C3"/>
    <w:rPr>
      <w:rFonts w:asciiTheme="minorHAnsi" w:eastAsiaTheme="minorEastAsia" w:hAnsiTheme="minorHAnsi" w:cstheme="minorBidi"/>
      <w:sz w:val="22"/>
      <w:szCs w:val="22"/>
    </w:rPr>
  </w:style>
  <w:style w:type="character" w:customStyle="1" w:styleId="af2">
    <w:name w:val="Без интервала Знак"/>
    <w:basedOn w:val="a0"/>
    <w:link w:val="af1"/>
    <w:uiPriority w:val="1"/>
    <w:rsid w:val="00FA02C3"/>
    <w:rPr>
      <w:rFonts w:asciiTheme="minorHAnsi" w:eastAsiaTheme="minorEastAsia" w:hAnsiTheme="minorHAnsi" w:cstheme="minorBidi"/>
      <w:sz w:val="22"/>
      <w:szCs w:val="22"/>
    </w:rPr>
  </w:style>
  <w:style w:type="paragraph" w:styleId="af3">
    <w:name w:val="Title"/>
    <w:basedOn w:val="a"/>
    <w:next w:val="a"/>
    <w:link w:val="af4"/>
    <w:uiPriority w:val="10"/>
    <w:qFormat/>
    <w:rsid w:val="00FA02C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FA02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5">
    <w:name w:val="Subtitle"/>
    <w:basedOn w:val="a"/>
    <w:next w:val="a"/>
    <w:link w:val="af6"/>
    <w:uiPriority w:val="11"/>
    <w:qFormat/>
    <w:rsid w:val="00FA02C3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6">
    <w:name w:val="Подзаголовок Знак"/>
    <w:basedOn w:val="a0"/>
    <w:link w:val="af5"/>
    <w:uiPriority w:val="11"/>
    <w:rsid w:val="00FA02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7">
    <w:name w:val="List Paragraph"/>
    <w:basedOn w:val="a"/>
    <w:uiPriority w:val="34"/>
    <w:qFormat/>
    <w:rsid w:val="00FA02C3"/>
    <w:pPr>
      <w:spacing w:after="200" w:line="252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</w:rPr>
  </w:style>
  <w:style w:type="paragraph" w:styleId="30">
    <w:name w:val="toc 3"/>
    <w:basedOn w:val="a"/>
    <w:next w:val="a"/>
    <w:autoRedefine/>
    <w:uiPriority w:val="39"/>
    <w:qFormat/>
    <w:rsid w:val="00FA02C3"/>
    <w:pPr>
      <w:ind w:left="240"/>
    </w:pPr>
    <w:rPr>
      <w:rFonts w:asciiTheme="minorHAnsi" w:hAnsiTheme="minorHAnsi"/>
      <w:sz w:val="20"/>
      <w:szCs w:val="20"/>
    </w:rPr>
  </w:style>
  <w:style w:type="paragraph" w:styleId="12">
    <w:name w:val="toc 1"/>
    <w:basedOn w:val="a"/>
    <w:next w:val="a"/>
    <w:autoRedefine/>
    <w:uiPriority w:val="39"/>
    <w:qFormat/>
    <w:rsid w:val="00C15E4E"/>
    <w:pPr>
      <w:spacing w:before="360"/>
    </w:pPr>
    <w:rPr>
      <w:rFonts w:asciiTheme="majorHAnsi" w:hAnsiTheme="majorHAnsi"/>
      <w:b/>
      <w:bCs/>
      <w:caps/>
    </w:rPr>
  </w:style>
  <w:style w:type="paragraph" w:styleId="af8">
    <w:name w:val="TOC Heading"/>
    <w:basedOn w:val="1"/>
    <w:next w:val="a"/>
    <w:uiPriority w:val="39"/>
    <w:unhideWhenUsed/>
    <w:qFormat/>
    <w:rsid w:val="003B1338"/>
    <w:pPr>
      <w:spacing w:line="276" w:lineRule="auto"/>
      <w:outlineLvl w:val="9"/>
    </w:pPr>
  </w:style>
  <w:style w:type="paragraph" w:styleId="20">
    <w:name w:val="toc 2"/>
    <w:basedOn w:val="a"/>
    <w:next w:val="a"/>
    <w:autoRedefine/>
    <w:uiPriority w:val="39"/>
    <w:qFormat/>
    <w:rsid w:val="00CB2EB9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42">
    <w:name w:val="toc 4"/>
    <w:basedOn w:val="a"/>
    <w:next w:val="a"/>
    <w:autoRedefine/>
    <w:uiPriority w:val="39"/>
    <w:rsid w:val="001A36C9"/>
    <w:pPr>
      <w:tabs>
        <w:tab w:val="right" w:leader="dot" w:pos="10195"/>
      </w:tabs>
      <w:ind w:left="480"/>
    </w:pPr>
    <w:rPr>
      <w:noProof/>
      <w:color w:val="000000" w:themeColor="text1"/>
    </w:rPr>
  </w:style>
  <w:style w:type="paragraph" w:styleId="5">
    <w:name w:val="toc 5"/>
    <w:basedOn w:val="a"/>
    <w:next w:val="a"/>
    <w:autoRedefine/>
    <w:rsid w:val="00CB2EB9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rsid w:val="00CB2EB9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rsid w:val="00CB2EB9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rsid w:val="00CB2EB9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rsid w:val="00CB2EB9"/>
    <w:pPr>
      <w:ind w:left="1680"/>
    </w:pPr>
    <w:rPr>
      <w:rFonts w:asciiTheme="minorHAnsi" w:hAnsiTheme="minorHAnsi"/>
      <w:sz w:val="20"/>
      <w:szCs w:val="20"/>
    </w:rPr>
  </w:style>
  <w:style w:type="paragraph" w:styleId="af9">
    <w:name w:val="Revision"/>
    <w:hidden/>
    <w:uiPriority w:val="99"/>
    <w:semiHidden/>
    <w:rsid w:val="009F448D"/>
    <w:rPr>
      <w:sz w:val="24"/>
      <w:szCs w:val="24"/>
    </w:rPr>
  </w:style>
  <w:style w:type="table" w:customStyle="1" w:styleId="13">
    <w:name w:val="Сетка таблицы1"/>
    <w:basedOn w:val="a1"/>
    <w:next w:val="a8"/>
    <w:uiPriority w:val="59"/>
    <w:rsid w:val="00B1589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588F696-E807-4872-B51F-9A147F05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ИНВЕСТИЦИОННЫЙ ПРОЕКТ</vt:lpstr>
    </vt:vector>
  </TitlesOfParts>
  <Company>OAO"TEK"</Company>
  <LinksUpToDate>false</LinksUpToDate>
  <CharactersWithSpaces>8485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ИНВЕСТИЦИОННЫЙ ПРОЕКТ</dc:title>
  <dc:creator>Токарева</dc:creator>
  <cp:lastModifiedBy>Гулаева Инна Дмитриевна</cp:lastModifiedBy>
  <cp:revision>49</cp:revision>
  <cp:lastPrinted>2020-02-27T07:07:00Z</cp:lastPrinted>
  <dcterms:created xsi:type="dcterms:W3CDTF">2019-03-12T11:17:00Z</dcterms:created>
  <dcterms:modified xsi:type="dcterms:W3CDTF">2020-04-10T11:19:00Z</dcterms:modified>
</cp:coreProperties>
</file>